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B111A" w14:textId="45006CAA" w:rsidR="00E05743" w:rsidRDefault="00E05743" w:rsidP="00E05743">
      <w:pPr>
        <w:spacing w:line="360" w:lineRule="auto"/>
        <w:rPr>
          <w:rFonts w:ascii="Arial" w:hAnsi="Arial" w:cs="Arial"/>
          <w:sz w:val="20"/>
          <w:szCs w:val="20"/>
        </w:rPr>
      </w:pPr>
      <w:r>
        <w:rPr>
          <w:rFonts w:ascii="Arial" w:hAnsi="Arial" w:cs="Arial"/>
          <w:sz w:val="20"/>
          <w:szCs w:val="20"/>
        </w:rPr>
        <w:t>Antony Sutanto</w:t>
      </w:r>
    </w:p>
    <w:p w14:paraId="18308F49" w14:textId="0C107567" w:rsidR="00D52521" w:rsidRPr="00E05743" w:rsidRDefault="00E05743" w:rsidP="00E05743">
      <w:pPr>
        <w:spacing w:line="360" w:lineRule="auto"/>
        <w:jc w:val="center"/>
        <w:rPr>
          <w:rFonts w:ascii="Arial" w:hAnsi="Arial" w:cs="Arial"/>
          <w:sz w:val="20"/>
          <w:szCs w:val="20"/>
        </w:rPr>
      </w:pPr>
      <w:r w:rsidRPr="00E05743">
        <w:rPr>
          <w:rFonts w:ascii="Arial" w:hAnsi="Arial" w:cs="Arial"/>
          <w:sz w:val="20"/>
          <w:szCs w:val="20"/>
        </w:rPr>
        <w:t>T Park</w:t>
      </w:r>
    </w:p>
    <w:p w14:paraId="1B9B5261" w14:textId="21F41148" w:rsidR="00E05743" w:rsidRDefault="00E05743" w:rsidP="00E05743">
      <w:pPr>
        <w:spacing w:line="360" w:lineRule="auto"/>
        <w:jc w:val="center"/>
        <w:rPr>
          <w:rFonts w:ascii="Arial" w:hAnsi="Arial" w:cs="Arial"/>
          <w:sz w:val="20"/>
          <w:szCs w:val="20"/>
        </w:rPr>
      </w:pPr>
      <w:r>
        <w:rPr>
          <w:rFonts w:ascii="Arial" w:hAnsi="Arial" w:cs="Arial"/>
          <w:sz w:val="20"/>
          <w:szCs w:val="20"/>
        </w:rPr>
        <w:t>Hong Kong, Greater China</w:t>
      </w:r>
    </w:p>
    <w:p w14:paraId="343EEEAD" w14:textId="1DD7B456" w:rsidR="00C502D6" w:rsidRDefault="00C502D6" w:rsidP="00C502D6">
      <w:pPr>
        <w:spacing w:line="360" w:lineRule="auto"/>
        <w:ind w:firstLine="720"/>
        <w:rPr>
          <w:rFonts w:ascii="Arial" w:hAnsi="Arial" w:cs="Arial"/>
          <w:sz w:val="20"/>
          <w:szCs w:val="20"/>
        </w:rPr>
      </w:pPr>
      <w:r>
        <w:rPr>
          <w:rFonts w:ascii="Arial" w:hAnsi="Arial" w:cs="Arial"/>
          <w:sz w:val="20"/>
          <w:szCs w:val="20"/>
        </w:rPr>
        <w:t xml:space="preserve">T Park Hong Kong is a sludge treatment facility designed by </w:t>
      </w:r>
      <w:proofErr w:type="spellStart"/>
      <w:r>
        <w:rPr>
          <w:rFonts w:ascii="Arial" w:hAnsi="Arial" w:cs="Arial"/>
          <w:sz w:val="20"/>
          <w:szCs w:val="20"/>
        </w:rPr>
        <w:t>Vasconi</w:t>
      </w:r>
      <w:proofErr w:type="spellEnd"/>
      <w:r>
        <w:rPr>
          <w:rFonts w:ascii="Arial" w:hAnsi="Arial" w:cs="Arial"/>
          <w:sz w:val="20"/>
          <w:szCs w:val="20"/>
        </w:rPr>
        <w:t xml:space="preserve"> </w:t>
      </w:r>
      <w:proofErr w:type="spellStart"/>
      <w:r>
        <w:rPr>
          <w:rFonts w:ascii="Arial" w:hAnsi="Arial" w:cs="Arial"/>
          <w:sz w:val="20"/>
          <w:szCs w:val="20"/>
        </w:rPr>
        <w:t>Architectes</w:t>
      </w:r>
      <w:proofErr w:type="spellEnd"/>
      <w:r>
        <w:rPr>
          <w:rFonts w:ascii="Arial" w:hAnsi="Arial" w:cs="Arial"/>
          <w:sz w:val="20"/>
          <w:szCs w:val="20"/>
        </w:rPr>
        <w:t xml:space="preserve"> as a part of</w:t>
      </w:r>
      <w:r w:rsidRPr="00F1479D">
        <w:rPr>
          <w:rFonts w:ascii="Arial" w:hAnsi="Arial" w:cs="Arial"/>
          <w:sz w:val="20"/>
          <w:szCs w:val="20"/>
        </w:rPr>
        <w:t xml:space="preserve"> a series of</w:t>
      </w:r>
      <w:r>
        <w:rPr>
          <w:rFonts w:ascii="Arial" w:hAnsi="Arial" w:cs="Arial"/>
          <w:sz w:val="20"/>
          <w:szCs w:val="20"/>
        </w:rPr>
        <w:t xml:space="preserve"> </w:t>
      </w:r>
      <w:r w:rsidRPr="00F1479D">
        <w:rPr>
          <w:rFonts w:ascii="Arial" w:hAnsi="Arial" w:cs="Arial"/>
          <w:sz w:val="20"/>
          <w:szCs w:val="20"/>
        </w:rPr>
        <w:t xml:space="preserve">projects in the department of New Territories in Hong Kong, </w:t>
      </w:r>
      <w:r>
        <w:rPr>
          <w:rFonts w:ascii="Arial" w:hAnsi="Arial" w:cs="Arial"/>
          <w:sz w:val="20"/>
          <w:szCs w:val="20"/>
        </w:rPr>
        <w:t>far</w:t>
      </w:r>
      <w:r w:rsidR="003F1B10">
        <w:rPr>
          <w:rFonts w:ascii="Arial" w:hAnsi="Arial" w:cs="Arial"/>
          <w:sz w:val="20"/>
          <w:szCs w:val="20"/>
        </w:rPr>
        <w:t xml:space="preserve"> away</w:t>
      </w:r>
      <w:r>
        <w:rPr>
          <w:rFonts w:ascii="Arial" w:hAnsi="Arial" w:cs="Arial"/>
          <w:sz w:val="20"/>
          <w:szCs w:val="20"/>
        </w:rPr>
        <w:t xml:space="preserve"> from the</w:t>
      </w:r>
      <w:r w:rsidRPr="00F1479D">
        <w:rPr>
          <w:rFonts w:ascii="Arial" w:hAnsi="Arial" w:cs="Arial"/>
          <w:sz w:val="20"/>
          <w:szCs w:val="20"/>
        </w:rPr>
        <w:t xml:space="preserve"> high</w:t>
      </w:r>
      <w:r>
        <w:rPr>
          <w:rFonts w:ascii="Arial" w:hAnsi="Arial" w:cs="Arial"/>
          <w:sz w:val="20"/>
          <w:szCs w:val="20"/>
        </w:rPr>
        <w:t>-density</w:t>
      </w:r>
      <w:r w:rsidRPr="00F1479D">
        <w:rPr>
          <w:rFonts w:ascii="Arial" w:hAnsi="Arial" w:cs="Arial"/>
          <w:sz w:val="20"/>
          <w:szCs w:val="20"/>
        </w:rPr>
        <w:t xml:space="preserve"> city neighborhoods. </w:t>
      </w:r>
      <w:r>
        <w:rPr>
          <w:rFonts w:ascii="Arial" w:hAnsi="Arial" w:cs="Arial"/>
          <w:sz w:val="20"/>
          <w:szCs w:val="20"/>
        </w:rPr>
        <w:t xml:space="preserve">The </w:t>
      </w:r>
      <w:r w:rsidRPr="00F1479D">
        <w:rPr>
          <w:rFonts w:ascii="Arial" w:hAnsi="Arial" w:cs="Arial"/>
          <w:sz w:val="20"/>
          <w:szCs w:val="20"/>
        </w:rPr>
        <w:t>land is situated between</w:t>
      </w:r>
      <w:r>
        <w:rPr>
          <w:rFonts w:ascii="Arial" w:hAnsi="Arial" w:cs="Arial"/>
          <w:sz w:val="20"/>
          <w:szCs w:val="20"/>
        </w:rPr>
        <w:t xml:space="preserve"> green </w:t>
      </w:r>
      <w:r w:rsidRPr="00F1479D">
        <w:rPr>
          <w:rFonts w:ascii="Arial" w:hAnsi="Arial" w:cs="Arial"/>
          <w:sz w:val="20"/>
          <w:szCs w:val="20"/>
        </w:rPr>
        <w:t xml:space="preserve">mountains and the bay of the </w:t>
      </w:r>
      <w:r w:rsidR="0025617D">
        <w:rPr>
          <w:rFonts w:ascii="Arial" w:hAnsi="Arial" w:cs="Arial"/>
          <w:sz w:val="20"/>
          <w:szCs w:val="20"/>
        </w:rPr>
        <w:t xml:space="preserve">South China </w:t>
      </w:r>
      <w:r w:rsidRPr="00F1479D">
        <w:rPr>
          <w:rFonts w:ascii="Arial" w:hAnsi="Arial" w:cs="Arial"/>
          <w:sz w:val="20"/>
          <w:szCs w:val="20"/>
        </w:rPr>
        <w:t>Sea which separates Hong Kong from</w:t>
      </w:r>
      <w:r>
        <w:rPr>
          <w:rFonts w:ascii="Arial" w:hAnsi="Arial" w:cs="Arial"/>
          <w:sz w:val="20"/>
          <w:szCs w:val="20"/>
        </w:rPr>
        <w:t xml:space="preserve"> </w:t>
      </w:r>
      <w:r w:rsidRPr="00F1479D">
        <w:rPr>
          <w:rFonts w:ascii="Arial" w:hAnsi="Arial" w:cs="Arial"/>
          <w:sz w:val="20"/>
          <w:szCs w:val="20"/>
        </w:rPr>
        <w:t>Shenzhen.</w:t>
      </w:r>
      <w:r>
        <w:rPr>
          <w:rFonts w:ascii="Arial" w:hAnsi="Arial" w:cs="Arial"/>
          <w:sz w:val="20"/>
          <w:szCs w:val="20"/>
        </w:rPr>
        <w:t xml:space="preserve"> </w:t>
      </w:r>
      <w:r w:rsidRPr="00F1479D">
        <w:rPr>
          <w:rFonts w:ascii="Arial" w:hAnsi="Arial" w:cs="Arial"/>
          <w:sz w:val="20"/>
          <w:szCs w:val="20"/>
        </w:rPr>
        <w:t xml:space="preserve">This </w:t>
      </w:r>
      <w:r w:rsidR="0025617D">
        <w:rPr>
          <w:rFonts w:ascii="Arial" w:hAnsi="Arial" w:cs="Arial"/>
          <w:sz w:val="20"/>
          <w:szCs w:val="20"/>
        </w:rPr>
        <w:t>setting influenced the form</w:t>
      </w:r>
      <w:r w:rsidRPr="00F1479D">
        <w:rPr>
          <w:rFonts w:ascii="Arial" w:hAnsi="Arial" w:cs="Arial"/>
          <w:sz w:val="20"/>
          <w:szCs w:val="20"/>
        </w:rPr>
        <w:t xml:space="preserve"> of the </w:t>
      </w:r>
      <w:r w:rsidR="0025617D">
        <w:rPr>
          <w:rFonts w:ascii="Arial" w:hAnsi="Arial" w:cs="Arial"/>
          <w:sz w:val="20"/>
          <w:szCs w:val="20"/>
        </w:rPr>
        <w:t>facility by</w:t>
      </w:r>
      <w:r w:rsidRPr="00F1479D">
        <w:rPr>
          <w:rFonts w:ascii="Arial" w:hAnsi="Arial" w:cs="Arial"/>
          <w:sz w:val="20"/>
          <w:szCs w:val="20"/>
        </w:rPr>
        <w:t xml:space="preserve"> seek</w:t>
      </w:r>
      <w:r w:rsidR="0025617D">
        <w:rPr>
          <w:rFonts w:ascii="Arial" w:hAnsi="Arial" w:cs="Arial"/>
          <w:sz w:val="20"/>
          <w:szCs w:val="20"/>
        </w:rPr>
        <w:t>ing</w:t>
      </w:r>
      <w:r w:rsidRPr="00F1479D">
        <w:rPr>
          <w:rFonts w:ascii="Arial" w:hAnsi="Arial" w:cs="Arial"/>
          <w:sz w:val="20"/>
          <w:szCs w:val="20"/>
        </w:rPr>
        <w:t xml:space="preserve"> integration and harmony</w:t>
      </w:r>
      <w:r>
        <w:rPr>
          <w:rFonts w:ascii="Arial" w:hAnsi="Arial" w:cs="Arial"/>
          <w:sz w:val="20"/>
          <w:szCs w:val="20"/>
        </w:rPr>
        <w:t xml:space="preserve"> </w:t>
      </w:r>
      <w:r w:rsidRPr="00F1479D">
        <w:rPr>
          <w:rFonts w:ascii="Arial" w:hAnsi="Arial" w:cs="Arial"/>
          <w:sz w:val="20"/>
          <w:szCs w:val="20"/>
        </w:rPr>
        <w:t>with the surrounding landscape</w:t>
      </w:r>
      <w:r w:rsidR="0025617D">
        <w:rPr>
          <w:rFonts w:ascii="Arial" w:hAnsi="Arial" w:cs="Arial"/>
          <w:sz w:val="20"/>
          <w:szCs w:val="20"/>
        </w:rPr>
        <w:t xml:space="preserve">, seen in </w:t>
      </w:r>
      <w:r w:rsidRPr="00F1479D">
        <w:rPr>
          <w:rFonts w:ascii="Arial" w:hAnsi="Arial" w:cs="Arial"/>
          <w:sz w:val="20"/>
          <w:szCs w:val="20"/>
        </w:rPr>
        <w:t>a green wave</w:t>
      </w:r>
      <w:r w:rsidR="0025617D">
        <w:rPr>
          <w:rFonts w:ascii="Arial" w:hAnsi="Arial" w:cs="Arial"/>
          <w:sz w:val="20"/>
          <w:szCs w:val="20"/>
        </w:rPr>
        <w:t xml:space="preserve"> lining the entire roof of the building</w:t>
      </w:r>
      <w:r w:rsidR="00BB02AA">
        <w:rPr>
          <w:rFonts w:ascii="Arial" w:hAnsi="Arial" w:cs="Arial"/>
          <w:sz w:val="20"/>
          <w:szCs w:val="20"/>
        </w:rPr>
        <w:t xml:space="preserve"> </w:t>
      </w:r>
      <w:r w:rsidR="00BB02AA">
        <w:rPr>
          <w:rFonts w:ascii="Arial" w:hAnsi="Arial" w:cs="Arial"/>
          <w:sz w:val="20"/>
          <w:szCs w:val="20"/>
          <w:vertAlign w:val="superscript"/>
        </w:rPr>
        <w:t>[1]</w:t>
      </w:r>
      <w:r w:rsidRPr="00F1479D">
        <w:rPr>
          <w:rFonts w:ascii="Arial" w:hAnsi="Arial" w:cs="Arial"/>
          <w:sz w:val="20"/>
          <w:szCs w:val="20"/>
        </w:rPr>
        <w:t>.</w:t>
      </w:r>
    </w:p>
    <w:p w14:paraId="4C176D85" w14:textId="39DD59E5" w:rsidR="00381761" w:rsidRPr="007338D1" w:rsidRDefault="0025617D" w:rsidP="00DB6CD9">
      <w:pPr>
        <w:spacing w:line="360" w:lineRule="auto"/>
        <w:ind w:firstLine="720"/>
        <w:rPr>
          <w:rFonts w:ascii="Arial" w:hAnsi="Arial" w:cs="Arial"/>
          <w:sz w:val="20"/>
          <w:szCs w:val="20"/>
        </w:rPr>
      </w:pPr>
      <w:r>
        <w:rPr>
          <w:rFonts w:ascii="Arial" w:hAnsi="Arial" w:cs="Arial"/>
          <w:sz w:val="20"/>
          <w:szCs w:val="20"/>
        </w:rPr>
        <w:t>The</w:t>
      </w:r>
      <w:r w:rsidR="00D92CA4">
        <w:rPr>
          <w:rFonts w:ascii="Arial" w:hAnsi="Arial" w:cs="Arial"/>
          <w:sz w:val="20"/>
          <w:szCs w:val="20"/>
        </w:rPr>
        <w:t xml:space="preserve"> 45,000m</w:t>
      </w:r>
      <w:r w:rsidR="00D92CA4">
        <w:rPr>
          <w:rFonts w:ascii="Arial" w:hAnsi="Arial" w:cs="Arial"/>
          <w:sz w:val="20"/>
          <w:szCs w:val="20"/>
          <w:vertAlign w:val="superscript"/>
        </w:rPr>
        <w:t>2</w:t>
      </w:r>
      <w:r>
        <w:rPr>
          <w:rFonts w:ascii="Arial" w:hAnsi="Arial" w:cs="Arial"/>
          <w:sz w:val="20"/>
          <w:szCs w:val="20"/>
        </w:rPr>
        <w:t xml:space="preserve"> building</w:t>
      </w:r>
      <w:r w:rsidR="007338D1">
        <w:rPr>
          <w:rFonts w:ascii="Arial" w:hAnsi="Arial" w:cs="Arial"/>
          <w:sz w:val="20"/>
          <w:szCs w:val="20"/>
        </w:rPr>
        <w:t xml:space="preserve"> </w:t>
      </w:r>
      <w:r w:rsidR="00B054D5">
        <w:rPr>
          <w:rFonts w:ascii="Arial" w:hAnsi="Arial" w:cs="Arial"/>
          <w:sz w:val="20"/>
          <w:szCs w:val="20"/>
        </w:rPr>
        <w:t>is made up of four incinerators in two main plant halls, a ten-story administration tower, and an environmental center with recreation pools and community leisure facilities</w:t>
      </w:r>
      <w:r w:rsidR="00E505EE">
        <w:rPr>
          <w:rFonts w:ascii="Arial" w:hAnsi="Arial" w:cs="Arial"/>
          <w:sz w:val="20"/>
          <w:szCs w:val="20"/>
        </w:rPr>
        <w:t xml:space="preserve"> that include a habitat for water birds and a viewing platform.</w:t>
      </w:r>
      <w:r w:rsidR="00381761">
        <w:rPr>
          <w:rFonts w:ascii="Arial" w:hAnsi="Arial" w:cs="Arial"/>
          <w:sz w:val="20"/>
          <w:szCs w:val="20"/>
        </w:rPr>
        <w:t xml:space="preserve"> </w:t>
      </w:r>
      <w:r>
        <w:rPr>
          <w:rFonts w:ascii="Arial" w:hAnsi="Arial" w:cs="Arial"/>
          <w:sz w:val="20"/>
          <w:szCs w:val="20"/>
        </w:rPr>
        <w:t>It</w:t>
      </w:r>
      <w:r w:rsidR="00381761">
        <w:rPr>
          <w:rFonts w:ascii="Arial" w:hAnsi="Arial" w:cs="Arial"/>
          <w:sz w:val="20"/>
          <w:szCs w:val="20"/>
        </w:rPr>
        <w:t xml:space="preserve"> is </w:t>
      </w:r>
      <w:r w:rsidR="00EA5A74">
        <w:rPr>
          <w:rFonts w:ascii="Arial" w:hAnsi="Arial" w:cs="Arial"/>
          <w:sz w:val="20"/>
          <w:szCs w:val="20"/>
        </w:rPr>
        <w:t>the largest facility of its type in the world</w:t>
      </w:r>
      <w:r w:rsidR="004C52CD">
        <w:rPr>
          <w:rFonts w:ascii="Arial" w:hAnsi="Arial" w:cs="Arial"/>
          <w:sz w:val="20"/>
          <w:szCs w:val="20"/>
        </w:rPr>
        <w:t>;</w:t>
      </w:r>
      <w:r w:rsidR="00EA5A74">
        <w:rPr>
          <w:rFonts w:ascii="Arial" w:hAnsi="Arial" w:cs="Arial"/>
          <w:sz w:val="20"/>
          <w:szCs w:val="20"/>
        </w:rPr>
        <w:t xml:space="preserve"> </w:t>
      </w:r>
      <w:r w:rsidR="004C52CD">
        <w:rPr>
          <w:rFonts w:ascii="Arial" w:hAnsi="Arial" w:cs="Arial"/>
          <w:sz w:val="20"/>
          <w:szCs w:val="20"/>
        </w:rPr>
        <w:t>sustainable solutions make the facility</w:t>
      </w:r>
      <w:r w:rsidR="00381761">
        <w:rPr>
          <w:rFonts w:ascii="Arial" w:hAnsi="Arial" w:cs="Arial"/>
          <w:sz w:val="20"/>
          <w:szCs w:val="20"/>
        </w:rPr>
        <w:t xml:space="preserve"> </w:t>
      </w:r>
      <w:r w:rsidR="00381761" w:rsidRPr="007338D1">
        <w:rPr>
          <w:rFonts w:ascii="Arial" w:hAnsi="Arial" w:cs="Arial"/>
          <w:sz w:val="20"/>
          <w:szCs w:val="20"/>
        </w:rPr>
        <w:t>self-sufficient and</w:t>
      </w:r>
      <w:r w:rsidR="00381761">
        <w:rPr>
          <w:rFonts w:ascii="Arial" w:hAnsi="Arial" w:cs="Arial"/>
          <w:sz w:val="20"/>
          <w:szCs w:val="20"/>
        </w:rPr>
        <w:t xml:space="preserve"> </w:t>
      </w:r>
      <w:r w:rsidR="004C52CD">
        <w:rPr>
          <w:rFonts w:ascii="Arial" w:hAnsi="Arial" w:cs="Arial"/>
          <w:sz w:val="20"/>
          <w:szCs w:val="20"/>
        </w:rPr>
        <w:t>allows it to</w:t>
      </w:r>
      <w:r w:rsidR="00381761" w:rsidRPr="007338D1">
        <w:rPr>
          <w:rFonts w:ascii="Arial" w:hAnsi="Arial" w:cs="Arial"/>
          <w:sz w:val="20"/>
          <w:szCs w:val="20"/>
        </w:rPr>
        <w:t xml:space="preserve"> dispose of up to 2,000 </w:t>
      </w:r>
      <w:r w:rsidR="00381761">
        <w:rPr>
          <w:rFonts w:ascii="Arial" w:hAnsi="Arial" w:cs="Arial"/>
          <w:sz w:val="20"/>
          <w:szCs w:val="20"/>
        </w:rPr>
        <w:t>tons</w:t>
      </w:r>
      <w:r w:rsidR="00381761" w:rsidRPr="007338D1">
        <w:rPr>
          <w:rFonts w:ascii="Arial" w:hAnsi="Arial" w:cs="Arial"/>
          <w:sz w:val="20"/>
          <w:szCs w:val="20"/>
        </w:rPr>
        <w:t xml:space="preserve"> of sewage sludge per day. </w:t>
      </w:r>
      <w:r w:rsidR="002A2F23">
        <w:rPr>
          <w:rFonts w:ascii="Arial" w:hAnsi="Arial" w:cs="Arial"/>
          <w:sz w:val="20"/>
          <w:szCs w:val="20"/>
        </w:rPr>
        <w:t>After incineration, the sludge is converted into ash and residues, reducing its volume by up to 90%, substantially lowering the quantity of waste disposed and the emission of greenhouse gases by over 200,000 tons each year</w:t>
      </w:r>
      <w:r w:rsidR="006D043B">
        <w:rPr>
          <w:rFonts w:ascii="Arial" w:hAnsi="Arial" w:cs="Arial"/>
          <w:sz w:val="20"/>
          <w:szCs w:val="20"/>
        </w:rPr>
        <w:t xml:space="preserve"> </w:t>
      </w:r>
      <w:r w:rsidR="006D043B">
        <w:rPr>
          <w:rFonts w:ascii="Arial" w:hAnsi="Arial" w:cs="Arial"/>
          <w:sz w:val="20"/>
          <w:szCs w:val="20"/>
          <w:vertAlign w:val="superscript"/>
        </w:rPr>
        <w:t>[2]</w:t>
      </w:r>
      <w:r w:rsidR="002A2F23">
        <w:rPr>
          <w:rFonts w:ascii="Arial" w:hAnsi="Arial" w:cs="Arial"/>
          <w:sz w:val="20"/>
          <w:szCs w:val="20"/>
        </w:rPr>
        <w:t xml:space="preserve">. </w:t>
      </w:r>
      <w:r w:rsidR="00BB02AA">
        <w:rPr>
          <w:rFonts w:ascii="Arial" w:hAnsi="Arial" w:cs="Arial"/>
          <w:sz w:val="20"/>
          <w:szCs w:val="20"/>
        </w:rPr>
        <w:t>The heat</w:t>
      </w:r>
      <w:r w:rsidR="00DB6CD9">
        <w:rPr>
          <w:rFonts w:ascii="Arial" w:hAnsi="Arial" w:cs="Arial"/>
          <w:sz w:val="20"/>
          <w:szCs w:val="20"/>
        </w:rPr>
        <w:t xml:space="preserve"> generated</w:t>
      </w:r>
      <w:r w:rsidR="00BB02AA">
        <w:rPr>
          <w:rFonts w:ascii="Arial" w:hAnsi="Arial" w:cs="Arial"/>
          <w:sz w:val="20"/>
          <w:szCs w:val="20"/>
        </w:rPr>
        <w:t xml:space="preserve"> from these processes</w:t>
      </w:r>
      <w:r w:rsidR="00DB6CD9">
        <w:rPr>
          <w:rFonts w:ascii="Arial" w:hAnsi="Arial" w:cs="Arial"/>
          <w:sz w:val="20"/>
          <w:szCs w:val="20"/>
        </w:rPr>
        <w:t xml:space="preserve"> is recovered for power generation and all power surpluses are exported to the electricity grid. At full capacity, an excess of 2MW of power is produced daily</w:t>
      </w:r>
      <w:r w:rsidR="006D043B">
        <w:rPr>
          <w:rFonts w:ascii="Arial" w:hAnsi="Arial" w:cs="Arial"/>
          <w:sz w:val="20"/>
          <w:szCs w:val="20"/>
        </w:rPr>
        <w:t xml:space="preserve"> </w:t>
      </w:r>
      <w:r w:rsidR="006D043B">
        <w:rPr>
          <w:rFonts w:ascii="Arial" w:hAnsi="Arial" w:cs="Arial"/>
          <w:sz w:val="20"/>
          <w:szCs w:val="20"/>
          <w:vertAlign w:val="superscript"/>
        </w:rPr>
        <w:t>[3]</w:t>
      </w:r>
      <w:r w:rsidR="00DB6CD9">
        <w:rPr>
          <w:rFonts w:ascii="Arial" w:hAnsi="Arial" w:cs="Arial"/>
          <w:sz w:val="20"/>
          <w:szCs w:val="20"/>
        </w:rPr>
        <w:t>.</w:t>
      </w:r>
    </w:p>
    <w:p w14:paraId="39D160C8" w14:textId="6A1D3C96" w:rsidR="00381761" w:rsidRDefault="007E58D4" w:rsidP="009047F0">
      <w:pPr>
        <w:spacing w:line="360" w:lineRule="auto"/>
        <w:ind w:firstLine="720"/>
        <w:rPr>
          <w:rFonts w:ascii="Arial" w:hAnsi="Arial" w:cs="Arial"/>
          <w:sz w:val="20"/>
          <w:szCs w:val="20"/>
        </w:rPr>
      </w:pPr>
      <w:r>
        <w:rPr>
          <w:rFonts w:ascii="Arial" w:hAnsi="Arial" w:cs="Arial"/>
          <w:sz w:val="20"/>
          <w:szCs w:val="20"/>
        </w:rPr>
        <w:t xml:space="preserve">Known for its sustainable design, the building </w:t>
      </w:r>
      <w:r w:rsidR="00AA22F5">
        <w:rPr>
          <w:rFonts w:ascii="Arial" w:hAnsi="Arial" w:cs="Arial"/>
          <w:sz w:val="20"/>
          <w:szCs w:val="20"/>
        </w:rPr>
        <w:t>attained</w:t>
      </w:r>
      <w:r>
        <w:rPr>
          <w:rFonts w:ascii="Arial" w:hAnsi="Arial" w:cs="Arial"/>
          <w:sz w:val="20"/>
          <w:szCs w:val="20"/>
        </w:rPr>
        <w:t xml:space="preserve"> </w:t>
      </w:r>
      <w:r w:rsidR="009047F0">
        <w:rPr>
          <w:rFonts w:ascii="Arial" w:hAnsi="Arial" w:cs="Arial"/>
          <w:sz w:val="20"/>
          <w:szCs w:val="20"/>
        </w:rPr>
        <w:t xml:space="preserve">both </w:t>
      </w:r>
      <w:r>
        <w:rPr>
          <w:rFonts w:ascii="Arial" w:hAnsi="Arial" w:cs="Arial"/>
          <w:sz w:val="20"/>
          <w:szCs w:val="20"/>
        </w:rPr>
        <w:t xml:space="preserve">LEED Gold certification </w:t>
      </w:r>
      <w:r w:rsidR="009047F0">
        <w:rPr>
          <w:rFonts w:ascii="Arial" w:hAnsi="Arial" w:cs="Arial"/>
          <w:sz w:val="20"/>
          <w:szCs w:val="20"/>
        </w:rPr>
        <w:t xml:space="preserve">and BEAM Plus </w:t>
      </w:r>
      <w:r w:rsidR="00AA22F5">
        <w:rPr>
          <w:rFonts w:ascii="Arial" w:hAnsi="Arial" w:cs="Arial"/>
          <w:sz w:val="20"/>
          <w:szCs w:val="20"/>
        </w:rPr>
        <w:t>Provisional Platinum rating</w:t>
      </w:r>
      <w:r w:rsidR="009047F0">
        <w:rPr>
          <w:rFonts w:ascii="Arial" w:hAnsi="Arial" w:cs="Arial"/>
          <w:sz w:val="20"/>
          <w:szCs w:val="20"/>
        </w:rPr>
        <w:t>.</w:t>
      </w:r>
      <w:r w:rsidR="00381761" w:rsidRPr="007338D1">
        <w:rPr>
          <w:rFonts w:ascii="Arial" w:hAnsi="Arial" w:cs="Arial"/>
          <w:sz w:val="20"/>
          <w:szCs w:val="20"/>
        </w:rPr>
        <w:t xml:space="preserve"> </w:t>
      </w:r>
      <w:r w:rsidR="009047F0">
        <w:rPr>
          <w:rFonts w:ascii="Arial" w:hAnsi="Arial" w:cs="Arial"/>
          <w:sz w:val="20"/>
          <w:szCs w:val="20"/>
        </w:rPr>
        <w:t xml:space="preserve">In addition to its self-sufficiency, </w:t>
      </w:r>
      <w:r w:rsidR="00381761" w:rsidRPr="007338D1">
        <w:rPr>
          <w:rFonts w:ascii="Arial" w:hAnsi="Arial" w:cs="Arial"/>
          <w:sz w:val="20"/>
          <w:szCs w:val="20"/>
        </w:rPr>
        <w:t xml:space="preserve">70% of the site </w:t>
      </w:r>
      <w:r w:rsidR="009047F0">
        <w:rPr>
          <w:rFonts w:ascii="Arial" w:hAnsi="Arial" w:cs="Arial"/>
          <w:sz w:val="20"/>
          <w:szCs w:val="20"/>
        </w:rPr>
        <w:t>is made up of</w:t>
      </w:r>
      <w:r w:rsidR="00381761" w:rsidRPr="007338D1">
        <w:rPr>
          <w:rFonts w:ascii="Arial" w:hAnsi="Arial" w:cs="Arial"/>
          <w:sz w:val="20"/>
          <w:szCs w:val="20"/>
        </w:rPr>
        <w:t xml:space="preserve"> landscap</w:t>
      </w:r>
      <w:r w:rsidR="009047F0">
        <w:rPr>
          <w:rFonts w:ascii="Arial" w:hAnsi="Arial" w:cs="Arial"/>
          <w:sz w:val="20"/>
          <w:szCs w:val="20"/>
        </w:rPr>
        <w:t>ing</w:t>
      </w:r>
      <w:r w:rsidR="00381761" w:rsidRPr="007338D1">
        <w:rPr>
          <w:rFonts w:ascii="Arial" w:hAnsi="Arial" w:cs="Arial"/>
          <w:sz w:val="20"/>
          <w:szCs w:val="20"/>
        </w:rPr>
        <w:t xml:space="preserve"> or has green roof coverage. </w:t>
      </w:r>
      <w:r w:rsidR="002A2F23">
        <w:rPr>
          <w:rFonts w:ascii="Arial" w:hAnsi="Arial" w:cs="Arial"/>
          <w:sz w:val="20"/>
          <w:szCs w:val="20"/>
        </w:rPr>
        <w:t>There is zero discharge of water from the facility:</w:t>
      </w:r>
      <w:r w:rsidR="009047F0">
        <w:rPr>
          <w:rFonts w:ascii="Arial" w:hAnsi="Arial" w:cs="Arial"/>
          <w:sz w:val="20"/>
          <w:szCs w:val="20"/>
        </w:rPr>
        <w:t xml:space="preserve"> the water</w:t>
      </w:r>
      <w:r w:rsidR="00381761" w:rsidRPr="007338D1">
        <w:rPr>
          <w:rFonts w:ascii="Arial" w:hAnsi="Arial" w:cs="Arial"/>
          <w:sz w:val="20"/>
          <w:szCs w:val="20"/>
        </w:rPr>
        <w:t xml:space="preserve"> recovered </w:t>
      </w:r>
      <w:r w:rsidR="009047F0">
        <w:rPr>
          <w:rFonts w:ascii="Arial" w:hAnsi="Arial" w:cs="Arial"/>
          <w:sz w:val="20"/>
          <w:szCs w:val="20"/>
        </w:rPr>
        <w:t xml:space="preserve">on the site </w:t>
      </w:r>
      <w:r w:rsidR="00381761" w:rsidRPr="007338D1">
        <w:rPr>
          <w:rFonts w:ascii="Arial" w:hAnsi="Arial" w:cs="Arial"/>
          <w:sz w:val="20"/>
          <w:szCs w:val="20"/>
        </w:rPr>
        <w:t>through desalination is used on site for drinking and industrial processes</w:t>
      </w:r>
      <w:r w:rsidR="00343E91">
        <w:rPr>
          <w:rFonts w:ascii="Arial" w:hAnsi="Arial" w:cs="Arial"/>
          <w:sz w:val="20"/>
          <w:szCs w:val="20"/>
        </w:rPr>
        <w:t xml:space="preserve">, green roofs utilize rainwater collection, </w:t>
      </w:r>
      <w:r w:rsidR="00381761" w:rsidRPr="007338D1">
        <w:rPr>
          <w:rFonts w:ascii="Arial" w:hAnsi="Arial" w:cs="Arial"/>
          <w:sz w:val="20"/>
          <w:szCs w:val="20"/>
        </w:rPr>
        <w:t>and all wastewater is treated on-site for reuse.</w:t>
      </w:r>
      <w:r w:rsidR="00EE1781">
        <w:rPr>
          <w:rFonts w:ascii="Arial" w:hAnsi="Arial" w:cs="Arial"/>
          <w:sz w:val="20"/>
          <w:szCs w:val="20"/>
        </w:rPr>
        <w:t xml:space="preserve"> Eco-friendly materials were also used in construction to lower the building’s embodied carbon and the project costs, including low emissivity glass for high thermal efficiency</w:t>
      </w:r>
      <w:r w:rsidR="002E77A6">
        <w:rPr>
          <w:rFonts w:ascii="Arial" w:hAnsi="Arial" w:cs="Arial"/>
          <w:sz w:val="20"/>
          <w:szCs w:val="20"/>
        </w:rPr>
        <w:t xml:space="preserve"> performance</w:t>
      </w:r>
      <w:r w:rsidR="00EE1781">
        <w:rPr>
          <w:rFonts w:ascii="Arial" w:hAnsi="Arial" w:cs="Arial"/>
          <w:sz w:val="20"/>
          <w:szCs w:val="20"/>
        </w:rPr>
        <w:t>, recycled plastics</w:t>
      </w:r>
      <w:r w:rsidR="004866C8">
        <w:rPr>
          <w:rFonts w:ascii="Arial" w:hAnsi="Arial" w:cs="Arial"/>
          <w:sz w:val="20"/>
          <w:szCs w:val="20"/>
        </w:rPr>
        <w:t xml:space="preserve"> in timber and concrete</w:t>
      </w:r>
      <w:r w:rsidR="00EE1781">
        <w:rPr>
          <w:rFonts w:ascii="Arial" w:hAnsi="Arial" w:cs="Arial"/>
          <w:sz w:val="20"/>
          <w:szCs w:val="20"/>
        </w:rPr>
        <w:t xml:space="preserve">, </w:t>
      </w:r>
      <w:r w:rsidR="004866C8">
        <w:rPr>
          <w:rFonts w:ascii="Arial" w:hAnsi="Arial" w:cs="Arial"/>
          <w:sz w:val="20"/>
          <w:szCs w:val="20"/>
        </w:rPr>
        <w:t>and pulverized fuel ash (PFA) materials for reusage in landscaping and backfilling</w:t>
      </w:r>
      <w:r w:rsidR="006D043B">
        <w:rPr>
          <w:rFonts w:ascii="Arial" w:hAnsi="Arial" w:cs="Arial"/>
          <w:sz w:val="20"/>
          <w:szCs w:val="20"/>
        </w:rPr>
        <w:t xml:space="preserve"> </w:t>
      </w:r>
      <w:r w:rsidR="006D043B">
        <w:rPr>
          <w:rFonts w:ascii="Arial" w:hAnsi="Arial" w:cs="Arial"/>
          <w:sz w:val="20"/>
          <w:szCs w:val="20"/>
          <w:vertAlign w:val="superscript"/>
        </w:rPr>
        <w:t>[4]</w:t>
      </w:r>
      <w:r w:rsidR="004866C8">
        <w:rPr>
          <w:rFonts w:ascii="Arial" w:hAnsi="Arial" w:cs="Arial"/>
          <w:sz w:val="20"/>
          <w:szCs w:val="20"/>
        </w:rPr>
        <w:t>.</w:t>
      </w:r>
    </w:p>
    <w:p w14:paraId="45464EA3" w14:textId="51C8C447" w:rsidR="006D043B" w:rsidRDefault="00F65AAB" w:rsidP="00BB02AA">
      <w:pPr>
        <w:spacing w:line="360" w:lineRule="auto"/>
        <w:ind w:firstLine="720"/>
        <w:rPr>
          <w:rFonts w:ascii="Arial" w:hAnsi="Arial" w:cs="Arial"/>
          <w:sz w:val="20"/>
          <w:szCs w:val="20"/>
        </w:rPr>
      </w:pPr>
      <w:r>
        <w:rPr>
          <w:rFonts w:ascii="Arial" w:hAnsi="Arial" w:cs="Arial"/>
          <w:sz w:val="20"/>
          <w:szCs w:val="20"/>
        </w:rPr>
        <w:t>Arup provided energy solutions, water engineering, building information modeling (BIM), and civil engineering services for the facility.</w:t>
      </w:r>
      <w:r w:rsidR="002A2F23">
        <w:rPr>
          <w:rFonts w:ascii="Arial" w:hAnsi="Arial" w:cs="Arial"/>
          <w:sz w:val="20"/>
          <w:szCs w:val="20"/>
        </w:rPr>
        <w:t xml:space="preserve"> When designing the structure of the building</w:t>
      </w:r>
      <w:r w:rsidR="00BB02AA">
        <w:rPr>
          <w:rFonts w:ascii="Arial" w:hAnsi="Arial" w:cs="Arial"/>
          <w:sz w:val="20"/>
          <w:szCs w:val="20"/>
        </w:rPr>
        <w:t>,</w:t>
      </w:r>
      <w:r w:rsidR="002A2F23">
        <w:rPr>
          <w:rFonts w:ascii="Arial" w:hAnsi="Arial" w:cs="Arial"/>
          <w:sz w:val="20"/>
          <w:szCs w:val="20"/>
        </w:rPr>
        <w:t xml:space="preserve"> a modular design </w:t>
      </w:r>
      <w:r w:rsidR="00BB02AA">
        <w:rPr>
          <w:rFonts w:ascii="Arial" w:hAnsi="Arial" w:cs="Arial"/>
          <w:sz w:val="20"/>
          <w:szCs w:val="20"/>
        </w:rPr>
        <w:t xml:space="preserve">was employed to improve the constructability of the flowing roof, which is 400m long and spans over the two incinerator plants as well as the administrative tower in the center. To accomplish </w:t>
      </w:r>
      <w:r w:rsidR="00137868">
        <w:rPr>
          <w:rFonts w:ascii="Arial" w:hAnsi="Arial" w:cs="Arial"/>
          <w:sz w:val="20"/>
          <w:szCs w:val="20"/>
        </w:rPr>
        <w:t>the complexity of the project</w:t>
      </w:r>
      <w:r w:rsidR="00BB02AA">
        <w:rPr>
          <w:rFonts w:ascii="Arial" w:hAnsi="Arial" w:cs="Arial"/>
          <w:sz w:val="20"/>
          <w:szCs w:val="20"/>
        </w:rPr>
        <w:t xml:space="preserve">, the BIM process was used to facilitate </w:t>
      </w:r>
      <w:r w:rsidR="00137868">
        <w:rPr>
          <w:rFonts w:ascii="Arial" w:hAnsi="Arial" w:cs="Arial"/>
          <w:sz w:val="20"/>
          <w:szCs w:val="20"/>
        </w:rPr>
        <w:t>design and construction</w:t>
      </w:r>
      <w:r w:rsidR="00BB02AA">
        <w:rPr>
          <w:rFonts w:ascii="Arial" w:hAnsi="Arial" w:cs="Arial"/>
          <w:sz w:val="20"/>
          <w:szCs w:val="20"/>
        </w:rPr>
        <w:t xml:space="preserve">, including managing delivery routes for equipment, the pipe layout, and the placement of the plant’s </w:t>
      </w:r>
      <w:r w:rsidR="004D56D3">
        <w:rPr>
          <w:rFonts w:ascii="Arial" w:hAnsi="Arial" w:cs="Arial"/>
          <w:sz w:val="20"/>
          <w:szCs w:val="20"/>
        </w:rPr>
        <w:t xml:space="preserve">various </w:t>
      </w:r>
      <w:r w:rsidR="00BB02AA">
        <w:rPr>
          <w:rFonts w:ascii="Arial" w:hAnsi="Arial" w:cs="Arial"/>
          <w:sz w:val="20"/>
          <w:szCs w:val="20"/>
        </w:rPr>
        <w:t>structures on the site</w:t>
      </w:r>
      <w:r w:rsidR="006D043B">
        <w:rPr>
          <w:rFonts w:ascii="Arial" w:hAnsi="Arial" w:cs="Arial"/>
          <w:sz w:val="20"/>
          <w:szCs w:val="20"/>
        </w:rPr>
        <w:t xml:space="preserve"> </w:t>
      </w:r>
      <w:r w:rsidR="006D043B">
        <w:rPr>
          <w:rFonts w:ascii="Arial" w:hAnsi="Arial" w:cs="Arial"/>
          <w:sz w:val="20"/>
          <w:szCs w:val="20"/>
          <w:vertAlign w:val="superscript"/>
        </w:rPr>
        <w:t>[5]</w:t>
      </w:r>
      <w:r w:rsidR="00BB02AA">
        <w:rPr>
          <w:rFonts w:ascii="Arial" w:hAnsi="Arial" w:cs="Arial"/>
          <w:sz w:val="20"/>
          <w:szCs w:val="20"/>
        </w:rPr>
        <w:t>.</w:t>
      </w:r>
    </w:p>
    <w:p w14:paraId="44CA022F" w14:textId="77777777" w:rsidR="006D043B" w:rsidRDefault="006D043B">
      <w:pPr>
        <w:rPr>
          <w:rFonts w:ascii="Arial" w:hAnsi="Arial" w:cs="Arial"/>
          <w:sz w:val="20"/>
          <w:szCs w:val="20"/>
        </w:rPr>
      </w:pPr>
      <w:r>
        <w:rPr>
          <w:rFonts w:ascii="Arial" w:hAnsi="Arial" w:cs="Arial"/>
          <w:sz w:val="20"/>
          <w:szCs w:val="20"/>
        </w:rPr>
        <w:br w:type="page"/>
      </w:r>
    </w:p>
    <w:p w14:paraId="1F686E2A" w14:textId="3267A077" w:rsidR="007338D1" w:rsidRDefault="006D043B" w:rsidP="007338D1">
      <w:pPr>
        <w:spacing w:line="360" w:lineRule="auto"/>
        <w:rPr>
          <w:rFonts w:ascii="Arial" w:hAnsi="Arial" w:cs="Arial"/>
          <w:sz w:val="20"/>
          <w:szCs w:val="20"/>
        </w:rPr>
      </w:pPr>
      <w:r>
        <w:rPr>
          <w:rFonts w:ascii="Arial" w:hAnsi="Arial" w:cs="Arial"/>
          <w:sz w:val="20"/>
          <w:szCs w:val="20"/>
        </w:rPr>
        <w:lastRenderedPageBreak/>
        <w:t>Footnotes:</w:t>
      </w:r>
    </w:p>
    <w:p w14:paraId="4C83BA77" w14:textId="21081672" w:rsidR="006D043B" w:rsidRDefault="006D043B" w:rsidP="007338D1">
      <w:pPr>
        <w:spacing w:line="360" w:lineRule="auto"/>
        <w:rPr>
          <w:rFonts w:ascii="Arial" w:hAnsi="Arial" w:cs="Arial"/>
          <w:sz w:val="20"/>
          <w:szCs w:val="20"/>
        </w:rPr>
      </w:pPr>
      <w:r>
        <w:rPr>
          <w:rFonts w:ascii="Arial" w:hAnsi="Arial" w:cs="Arial"/>
          <w:sz w:val="20"/>
          <w:szCs w:val="20"/>
        </w:rPr>
        <w:t>[1] “</w:t>
      </w:r>
      <w:r w:rsidRPr="00D92CA4">
        <w:rPr>
          <w:rFonts w:ascii="Arial" w:hAnsi="Arial" w:cs="Arial"/>
          <w:i/>
          <w:iCs/>
          <w:sz w:val="20"/>
          <w:szCs w:val="20"/>
        </w:rPr>
        <w:t>T Park Hong Kong</w:t>
      </w:r>
      <w:r>
        <w:rPr>
          <w:rFonts w:ascii="Arial" w:hAnsi="Arial" w:cs="Arial"/>
          <w:sz w:val="20"/>
          <w:szCs w:val="20"/>
        </w:rPr>
        <w:t xml:space="preserve">,” </w:t>
      </w:r>
      <w:r w:rsidRPr="006D043B">
        <w:rPr>
          <w:rFonts w:ascii="Arial" w:hAnsi="Arial" w:cs="Arial"/>
          <w:sz w:val="20"/>
          <w:szCs w:val="20"/>
        </w:rPr>
        <w:t>Architect Magazine: Architectural Design</w:t>
      </w:r>
      <w:r>
        <w:rPr>
          <w:rFonts w:ascii="Arial" w:hAnsi="Arial" w:cs="Arial"/>
          <w:sz w:val="20"/>
          <w:szCs w:val="20"/>
        </w:rPr>
        <w:t xml:space="preserve">, Zonda Media, 17 March 2019, </w:t>
      </w:r>
      <w:r w:rsidRPr="006D043B">
        <w:rPr>
          <w:rFonts w:ascii="Arial" w:hAnsi="Arial" w:cs="Arial"/>
          <w:sz w:val="20"/>
          <w:szCs w:val="20"/>
        </w:rPr>
        <w:t>https://www.architectmagazine.com/project-gallery/t-park-hong-kong</w:t>
      </w:r>
      <w:r>
        <w:rPr>
          <w:rFonts w:ascii="Arial" w:hAnsi="Arial" w:cs="Arial"/>
          <w:sz w:val="20"/>
          <w:szCs w:val="20"/>
        </w:rPr>
        <w:t>.</w:t>
      </w:r>
    </w:p>
    <w:p w14:paraId="6662D52D" w14:textId="37113C1B" w:rsidR="006D043B" w:rsidRDefault="006D043B" w:rsidP="007338D1">
      <w:pPr>
        <w:spacing w:line="360" w:lineRule="auto"/>
        <w:rPr>
          <w:rFonts w:ascii="Arial" w:hAnsi="Arial" w:cs="Arial"/>
          <w:sz w:val="20"/>
          <w:szCs w:val="20"/>
        </w:rPr>
      </w:pPr>
      <w:r>
        <w:rPr>
          <w:rFonts w:ascii="Arial" w:hAnsi="Arial" w:cs="Arial"/>
          <w:sz w:val="20"/>
          <w:szCs w:val="20"/>
        </w:rPr>
        <w:t xml:space="preserve">[2] </w:t>
      </w:r>
      <w:r w:rsidR="00D92CA4">
        <w:rPr>
          <w:rFonts w:ascii="Arial" w:hAnsi="Arial" w:cs="Arial"/>
          <w:sz w:val="20"/>
          <w:szCs w:val="20"/>
        </w:rPr>
        <w:t>“</w:t>
      </w:r>
      <w:r w:rsidR="00D92CA4" w:rsidRPr="00D92CA4">
        <w:rPr>
          <w:rFonts w:ascii="Arial" w:hAnsi="Arial" w:cs="Arial"/>
          <w:i/>
          <w:iCs/>
          <w:sz w:val="20"/>
          <w:szCs w:val="20"/>
        </w:rPr>
        <w:t>Story</w:t>
      </w:r>
      <w:r w:rsidR="00D92CA4">
        <w:rPr>
          <w:rFonts w:ascii="Arial" w:hAnsi="Arial" w:cs="Arial"/>
          <w:sz w:val="20"/>
          <w:szCs w:val="20"/>
        </w:rPr>
        <w:t xml:space="preserve">,” </w:t>
      </w:r>
      <w:r w:rsidR="00D92CA4" w:rsidRPr="00D92CA4">
        <w:rPr>
          <w:rFonts w:ascii="Arial" w:hAnsi="Arial" w:cs="Arial"/>
          <w:sz w:val="20"/>
          <w:szCs w:val="20"/>
        </w:rPr>
        <w:t>T · PARK</w:t>
      </w:r>
      <w:r w:rsidR="00D92CA4">
        <w:rPr>
          <w:rFonts w:ascii="Arial" w:hAnsi="Arial" w:cs="Arial"/>
          <w:sz w:val="20"/>
          <w:szCs w:val="20"/>
        </w:rPr>
        <w:t xml:space="preserve">, </w:t>
      </w:r>
      <w:r w:rsidR="00D92CA4" w:rsidRPr="00D92CA4">
        <w:rPr>
          <w:rFonts w:ascii="Arial" w:hAnsi="Arial" w:cs="Arial"/>
          <w:sz w:val="20"/>
          <w:szCs w:val="20"/>
        </w:rPr>
        <w:t>https://www.tpark.hk/en/story/</w:t>
      </w:r>
      <w:r w:rsidR="00D92CA4">
        <w:rPr>
          <w:rFonts w:ascii="Arial" w:hAnsi="Arial" w:cs="Arial"/>
          <w:sz w:val="20"/>
          <w:szCs w:val="20"/>
        </w:rPr>
        <w:t>.</w:t>
      </w:r>
    </w:p>
    <w:p w14:paraId="7D0DDA00" w14:textId="3DAE882C" w:rsidR="006D043B" w:rsidRDefault="006D043B" w:rsidP="007338D1">
      <w:pPr>
        <w:spacing w:line="360" w:lineRule="auto"/>
        <w:rPr>
          <w:rFonts w:ascii="Arial" w:hAnsi="Arial" w:cs="Arial"/>
          <w:sz w:val="20"/>
          <w:szCs w:val="20"/>
        </w:rPr>
      </w:pPr>
      <w:r>
        <w:rPr>
          <w:rFonts w:ascii="Arial" w:hAnsi="Arial" w:cs="Arial"/>
          <w:sz w:val="20"/>
          <w:szCs w:val="20"/>
        </w:rPr>
        <w:t xml:space="preserve">[3] </w:t>
      </w:r>
      <w:r w:rsidR="00D92CA4">
        <w:rPr>
          <w:rFonts w:ascii="Arial" w:hAnsi="Arial" w:cs="Arial"/>
          <w:sz w:val="20"/>
          <w:szCs w:val="20"/>
        </w:rPr>
        <w:t>“</w:t>
      </w:r>
      <w:r w:rsidR="00D92CA4" w:rsidRPr="00D92CA4">
        <w:rPr>
          <w:rFonts w:ascii="Arial" w:hAnsi="Arial" w:cs="Arial"/>
          <w:i/>
          <w:iCs/>
          <w:sz w:val="20"/>
          <w:szCs w:val="20"/>
        </w:rPr>
        <w:t>T-PARK</w:t>
      </w:r>
      <w:r w:rsidR="00D92CA4">
        <w:rPr>
          <w:rFonts w:ascii="Arial" w:hAnsi="Arial" w:cs="Arial"/>
          <w:sz w:val="20"/>
          <w:szCs w:val="20"/>
        </w:rPr>
        <w:t xml:space="preserve">,” </w:t>
      </w:r>
      <w:proofErr w:type="spellStart"/>
      <w:r w:rsidR="00D92CA4">
        <w:rPr>
          <w:rFonts w:ascii="Arial" w:hAnsi="Arial" w:cs="Arial"/>
          <w:sz w:val="20"/>
          <w:szCs w:val="20"/>
        </w:rPr>
        <w:t>Vasconi</w:t>
      </w:r>
      <w:proofErr w:type="spellEnd"/>
      <w:r w:rsidR="00D92CA4">
        <w:rPr>
          <w:rFonts w:ascii="Arial" w:hAnsi="Arial" w:cs="Arial"/>
          <w:sz w:val="20"/>
          <w:szCs w:val="20"/>
        </w:rPr>
        <w:t xml:space="preserve"> </w:t>
      </w:r>
      <w:proofErr w:type="spellStart"/>
      <w:r w:rsidR="00D92CA4">
        <w:rPr>
          <w:rFonts w:ascii="Arial" w:hAnsi="Arial" w:cs="Arial"/>
          <w:sz w:val="20"/>
          <w:szCs w:val="20"/>
        </w:rPr>
        <w:t>Architectes</w:t>
      </w:r>
      <w:proofErr w:type="spellEnd"/>
      <w:r w:rsidR="00D92CA4">
        <w:rPr>
          <w:rFonts w:ascii="Arial" w:hAnsi="Arial" w:cs="Arial"/>
          <w:sz w:val="20"/>
          <w:szCs w:val="20"/>
        </w:rPr>
        <w:t xml:space="preserve">, 2015, </w:t>
      </w:r>
      <w:r w:rsidR="00D92CA4" w:rsidRPr="00D92CA4">
        <w:rPr>
          <w:rFonts w:ascii="Arial" w:hAnsi="Arial" w:cs="Arial"/>
          <w:sz w:val="20"/>
          <w:szCs w:val="20"/>
        </w:rPr>
        <w:t>http://www.vasconi.fr/en/projects/project?project_id=33</w:t>
      </w:r>
      <w:r w:rsidR="00D92CA4">
        <w:rPr>
          <w:rFonts w:ascii="Arial" w:hAnsi="Arial" w:cs="Arial"/>
          <w:sz w:val="20"/>
          <w:szCs w:val="20"/>
        </w:rPr>
        <w:t>.</w:t>
      </w:r>
    </w:p>
    <w:p w14:paraId="607C4226" w14:textId="5A2075AB" w:rsidR="00D92CA4" w:rsidRDefault="006D043B" w:rsidP="007338D1">
      <w:pPr>
        <w:spacing w:line="360" w:lineRule="auto"/>
        <w:rPr>
          <w:rFonts w:ascii="Arial" w:hAnsi="Arial" w:cs="Arial"/>
          <w:sz w:val="20"/>
          <w:szCs w:val="20"/>
        </w:rPr>
      </w:pPr>
      <w:r>
        <w:rPr>
          <w:rFonts w:ascii="Arial" w:hAnsi="Arial" w:cs="Arial"/>
          <w:sz w:val="20"/>
          <w:szCs w:val="20"/>
        </w:rPr>
        <w:t xml:space="preserve">[4] </w:t>
      </w:r>
      <w:r w:rsidR="00D92CA4">
        <w:rPr>
          <w:rFonts w:ascii="Arial" w:hAnsi="Arial" w:cs="Arial"/>
          <w:sz w:val="20"/>
          <w:szCs w:val="20"/>
        </w:rPr>
        <w:t>“</w:t>
      </w:r>
      <w:r w:rsidR="00D92CA4" w:rsidRPr="00D92CA4">
        <w:rPr>
          <w:rFonts w:ascii="Arial" w:hAnsi="Arial" w:cs="Arial"/>
          <w:i/>
          <w:iCs/>
          <w:sz w:val="20"/>
          <w:szCs w:val="20"/>
        </w:rPr>
        <w:t>Design</w:t>
      </w:r>
      <w:r w:rsidR="00D92CA4">
        <w:rPr>
          <w:rFonts w:ascii="Arial" w:hAnsi="Arial" w:cs="Arial"/>
          <w:sz w:val="20"/>
          <w:szCs w:val="20"/>
        </w:rPr>
        <w:t xml:space="preserve">,” </w:t>
      </w:r>
      <w:r w:rsidR="00D92CA4" w:rsidRPr="00D92CA4">
        <w:rPr>
          <w:rFonts w:ascii="Arial" w:hAnsi="Arial" w:cs="Arial"/>
          <w:sz w:val="20"/>
          <w:szCs w:val="20"/>
        </w:rPr>
        <w:t>T · PARK</w:t>
      </w:r>
      <w:r w:rsidR="00D92CA4">
        <w:rPr>
          <w:rFonts w:ascii="Arial" w:hAnsi="Arial" w:cs="Arial"/>
          <w:sz w:val="20"/>
          <w:szCs w:val="20"/>
        </w:rPr>
        <w:t xml:space="preserve">, </w:t>
      </w:r>
      <w:r w:rsidR="00D92CA4" w:rsidRPr="00D92CA4">
        <w:rPr>
          <w:rFonts w:ascii="Arial" w:hAnsi="Arial" w:cs="Arial"/>
          <w:sz w:val="20"/>
          <w:szCs w:val="20"/>
        </w:rPr>
        <w:t>https://www.tpark.hk/en/design/</w:t>
      </w:r>
      <w:r w:rsidR="00D92CA4">
        <w:rPr>
          <w:rFonts w:ascii="Arial" w:hAnsi="Arial" w:cs="Arial"/>
          <w:sz w:val="20"/>
          <w:szCs w:val="20"/>
        </w:rPr>
        <w:t>.</w:t>
      </w:r>
    </w:p>
    <w:p w14:paraId="5DC3FE0A" w14:textId="75B95A95" w:rsidR="006D043B" w:rsidRDefault="006D043B" w:rsidP="007338D1">
      <w:pPr>
        <w:spacing w:line="360" w:lineRule="auto"/>
        <w:rPr>
          <w:rFonts w:ascii="Arial" w:hAnsi="Arial" w:cs="Arial"/>
          <w:sz w:val="20"/>
          <w:szCs w:val="20"/>
        </w:rPr>
      </w:pPr>
      <w:r>
        <w:rPr>
          <w:rFonts w:ascii="Arial" w:hAnsi="Arial" w:cs="Arial"/>
          <w:sz w:val="20"/>
          <w:szCs w:val="20"/>
        </w:rPr>
        <w:t xml:space="preserve">[5] </w:t>
      </w:r>
      <w:r w:rsidR="00D92CA4">
        <w:rPr>
          <w:rFonts w:ascii="Arial" w:hAnsi="Arial" w:cs="Arial"/>
          <w:sz w:val="20"/>
          <w:szCs w:val="20"/>
        </w:rPr>
        <w:t>“</w:t>
      </w:r>
      <w:r w:rsidR="00D92CA4" w:rsidRPr="00D92CA4">
        <w:rPr>
          <w:rFonts w:ascii="Arial" w:hAnsi="Arial" w:cs="Arial"/>
          <w:i/>
          <w:iCs/>
          <w:sz w:val="20"/>
          <w:szCs w:val="20"/>
        </w:rPr>
        <w:t>Power, spa and sludge</w:t>
      </w:r>
      <w:r w:rsidR="00D92CA4">
        <w:rPr>
          <w:rFonts w:ascii="Arial" w:hAnsi="Arial" w:cs="Arial"/>
          <w:sz w:val="20"/>
          <w:szCs w:val="20"/>
        </w:rPr>
        <w:t xml:space="preserve">,” Arup, </w:t>
      </w:r>
      <w:r w:rsidR="0094743E" w:rsidRPr="0094743E">
        <w:rPr>
          <w:rFonts w:ascii="Arial" w:hAnsi="Arial" w:cs="Arial"/>
          <w:sz w:val="20"/>
          <w:szCs w:val="20"/>
        </w:rPr>
        <w:t>https://www.arup.com/projects/t-park</w:t>
      </w:r>
      <w:r w:rsidR="00D92CA4">
        <w:rPr>
          <w:rFonts w:ascii="Arial" w:hAnsi="Arial" w:cs="Arial"/>
          <w:sz w:val="20"/>
          <w:szCs w:val="20"/>
        </w:rPr>
        <w:t>.</w:t>
      </w:r>
    </w:p>
    <w:p w14:paraId="49FBA0DE" w14:textId="477A426A" w:rsidR="0094743E" w:rsidRDefault="0094743E" w:rsidP="0094743E">
      <w:pPr>
        <w:spacing w:line="360" w:lineRule="auto"/>
        <w:jc w:val="center"/>
        <w:rPr>
          <w:rFonts w:ascii="Arial" w:hAnsi="Arial" w:cs="Arial"/>
          <w:sz w:val="20"/>
          <w:szCs w:val="20"/>
        </w:rPr>
      </w:pPr>
      <w:r>
        <w:rPr>
          <w:rFonts w:ascii="Arial" w:hAnsi="Arial" w:cs="Arial"/>
          <w:noProof/>
          <w:sz w:val="20"/>
          <w:szCs w:val="20"/>
        </w:rPr>
        <w:drawing>
          <wp:inline distT="0" distB="0" distL="0" distR="0" wp14:anchorId="3AA75402" wp14:editId="44B79215">
            <wp:extent cx="3625850" cy="24172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26993" cy="2417995"/>
                    </a:xfrm>
                    <a:prstGeom prst="rect">
                      <a:avLst/>
                    </a:prstGeom>
                    <a:noFill/>
                    <a:ln>
                      <a:noFill/>
                    </a:ln>
                  </pic:spPr>
                </pic:pic>
              </a:graphicData>
            </a:graphic>
          </wp:inline>
        </w:drawing>
      </w:r>
    </w:p>
    <w:p w14:paraId="228C096B" w14:textId="1598984B" w:rsidR="0094743E" w:rsidRPr="007338D1" w:rsidRDefault="00D24E87" w:rsidP="00D24E87">
      <w:pPr>
        <w:spacing w:line="360" w:lineRule="auto"/>
        <w:jc w:val="center"/>
        <w:rPr>
          <w:rFonts w:ascii="Arial" w:hAnsi="Arial" w:cs="Arial"/>
          <w:sz w:val="20"/>
          <w:szCs w:val="20"/>
        </w:rPr>
      </w:pPr>
      <w:r w:rsidRPr="00D24E87">
        <w:rPr>
          <w:rFonts w:ascii="Arial" w:hAnsi="Arial" w:cs="Arial"/>
          <w:sz w:val="20"/>
          <w:szCs w:val="20"/>
        </w:rPr>
        <w:drawing>
          <wp:inline distT="0" distB="0" distL="0" distR="0" wp14:anchorId="1A1740A0" wp14:editId="19CB2EEF">
            <wp:extent cx="3028950" cy="2922160"/>
            <wp:effectExtent l="0" t="0" r="0" b="0"/>
            <wp:docPr id="2" name="Picture 2" descr="A picture containing blue, ceramic ware, painted, porcel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lue, ceramic ware, painted, porcelain&#10;&#10;Description automatically generated"/>
                    <pic:cNvPicPr/>
                  </pic:nvPicPr>
                  <pic:blipFill>
                    <a:blip r:embed="rId5"/>
                    <a:stretch>
                      <a:fillRect/>
                    </a:stretch>
                  </pic:blipFill>
                  <pic:spPr>
                    <a:xfrm>
                      <a:off x="0" y="0"/>
                      <a:ext cx="3030759" cy="2923905"/>
                    </a:xfrm>
                    <a:prstGeom prst="rect">
                      <a:avLst/>
                    </a:prstGeom>
                  </pic:spPr>
                </pic:pic>
              </a:graphicData>
            </a:graphic>
          </wp:inline>
        </w:drawing>
      </w:r>
    </w:p>
    <w:sectPr w:rsidR="0094743E" w:rsidRPr="007338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500ED"/>
    <w:rsid w:val="00137868"/>
    <w:rsid w:val="0025617D"/>
    <w:rsid w:val="002A2F23"/>
    <w:rsid w:val="002E77A6"/>
    <w:rsid w:val="00343E91"/>
    <w:rsid w:val="00381761"/>
    <w:rsid w:val="003F1B10"/>
    <w:rsid w:val="004866C8"/>
    <w:rsid w:val="004C52CD"/>
    <w:rsid w:val="004D56D3"/>
    <w:rsid w:val="006B5F60"/>
    <w:rsid w:val="006D043B"/>
    <w:rsid w:val="007338D1"/>
    <w:rsid w:val="007E58D4"/>
    <w:rsid w:val="009047F0"/>
    <w:rsid w:val="009277A4"/>
    <w:rsid w:val="0094743E"/>
    <w:rsid w:val="00AA22F5"/>
    <w:rsid w:val="00AC1D40"/>
    <w:rsid w:val="00B054D5"/>
    <w:rsid w:val="00BB02AA"/>
    <w:rsid w:val="00C502D6"/>
    <w:rsid w:val="00D24E87"/>
    <w:rsid w:val="00D52521"/>
    <w:rsid w:val="00D539A0"/>
    <w:rsid w:val="00D92CA4"/>
    <w:rsid w:val="00DB6CD9"/>
    <w:rsid w:val="00DF6587"/>
    <w:rsid w:val="00E05743"/>
    <w:rsid w:val="00E43308"/>
    <w:rsid w:val="00E505EE"/>
    <w:rsid w:val="00EA5A74"/>
    <w:rsid w:val="00EE1781"/>
    <w:rsid w:val="00F1479D"/>
    <w:rsid w:val="00F500ED"/>
    <w:rsid w:val="00F65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68432"/>
  <w15:chartTrackingRefBased/>
  <w15:docId w15:val="{0310B114-7E8D-4ABB-8E6C-AADD4EBE5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743E"/>
    <w:rPr>
      <w:color w:val="0563C1" w:themeColor="hyperlink"/>
      <w:u w:val="single"/>
    </w:rPr>
  </w:style>
  <w:style w:type="character" w:styleId="UnresolvedMention">
    <w:name w:val="Unresolved Mention"/>
    <w:basedOn w:val="DefaultParagraphFont"/>
    <w:uiPriority w:val="99"/>
    <w:semiHidden/>
    <w:unhideWhenUsed/>
    <w:rsid w:val="009474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597340">
      <w:bodyDiv w:val="1"/>
      <w:marLeft w:val="0"/>
      <w:marRight w:val="0"/>
      <w:marTop w:val="0"/>
      <w:marBottom w:val="0"/>
      <w:divBdr>
        <w:top w:val="none" w:sz="0" w:space="0" w:color="auto"/>
        <w:left w:val="none" w:sz="0" w:space="0" w:color="auto"/>
        <w:bottom w:val="none" w:sz="0" w:space="0" w:color="auto"/>
        <w:right w:val="none" w:sz="0" w:space="0" w:color="auto"/>
      </w:divBdr>
    </w:div>
    <w:div w:id="1348215494">
      <w:bodyDiv w:val="1"/>
      <w:marLeft w:val="0"/>
      <w:marRight w:val="0"/>
      <w:marTop w:val="0"/>
      <w:marBottom w:val="0"/>
      <w:divBdr>
        <w:top w:val="none" w:sz="0" w:space="0" w:color="auto"/>
        <w:left w:val="none" w:sz="0" w:space="0" w:color="auto"/>
        <w:bottom w:val="none" w:sz="0" w:space="0" w:color="auto"/>
        <w:right w:val="none" w:sz="0" w:space="0" w:color="auto"/>
      </w:divBdr>
    </w:div>
    <w:div w:id="2074809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2</Pages>
  <Words>496</Words>
  <Characters>2829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Sutanto</dc:creator>
  <cp:keywords/>
  <dc:description/>
  <cp:lastModifiedBy>Antony Sutanto</cp:lastModifiedBy>
  <cp:revision>13</cp:revision>
  <dcterms:created xsi:type="dcterms:W3CDTF">2022-01-26T18:13:00Z</dcterms:created>
  <dcterms:modified xsi:type="dcterms:W3CDTF">2022-01-27T04:58:00Z</dcterms:modified>
</cp:coreProperties>
</file>