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2CEDC" w14:textId="77777777" w:rsidR="00E40613" w:rsidRPr="00E40613" w:rsidRDefault="00E40613" w:rsidP="00E40613">
      <w:pPr>
        <w:spacing w:after="0" w:line="360" w:lineRule="auto"/>
        <w:jc w:val="center"/>
        <w:rPr>
          <w:rFonts w:ascii="Arial" w:eastAsia="Times New Roman" w:hAnsi="Arial" w:cs="Arial"/>
          <w:sz w:val="20"/>
          <w:szCs w:val="20"/>
        </w:rPr>
      </w:pPr>
      <w:r w:rsidRPr="00E40613">
        <w:rPr>
          <w:rFonts w:ascii="Arial" w:eastAsia="Times New Roman" w:hAnsi="Arial" w:cs="Arial"/>
          <w:color w:val="000000"/>
          <w:sz w:val="20"/>
          <w:szCs w:val="20"/>
          <w:u w:val="single"/>
        </w:rPr>
        <w:t>Gasholders London - London, England</w:t>
      </w:r>
    </w:p>
    <w:p w14:paraId="4EA69DCB" w14:textId="77777777" w:rsidR="00E40613" w:rsidRPr="00E40613" w:rsidRDefault="00E40613" w:rsidP="00E40613">
      <w:pPr>
        <w:spacing w:after="0" w:line="360" w:lineRule="auto"/>
        <w:jc w:val="center"/>
        <w:rPr>
          <w:rFonts w:ascii="Arial" w:eastAsia="Times New Roman" w:hAnsi="Arial" w:cs="Arial"/>
          <w:sz w:val="20"/>
          <w:szCs w:val="20"/>
        </w:rPr>
      </w:pPr>
      <w:r w:rsidRPr="00E40613">
        <w:rPr>
          <w:rFonts w:ascii="Arial" w:eastAsia="Times New Roman" w:hAnsi="Arial" w:cs="Arial"/>
          <w:color w:val="000000"/>
          <w:sz w:val="20"/>
          <w:szCs w:val="20"/>
        </w:rPr>
        <w:t>Essay by Katelyn Dill</w:t>
      </w:r>
    </w:p>
    <w:p w14:paraId="690066B6" w14:textId="77777777" w:rsidR="00E40613" w:rsidRPr="00E40613" w:rsidRDefault="00E40613" w:rsidP="00E40613">
      <w:pPr>
        <w:spacing w:after="0" w:line="360" w:lineRule="auto"/>
        <w:rPr>
          <w:rFonts w:ascii="Arial" w:eastAsia="Times New Roman" w:hAnsi="Arial" w:cs="Arial"/>
          <w:sz w:val="20"/>
          <w:szCs w:val="20"/>
        </w:rPr>
      </w:pPr>
    </w:p>
    <w:p w14:paraId="4F713885" w14:textId="77777777" w:rsidR="00E40613" w:rsidRPr="00E40613" w:rsidRDefault="00E40613" w:rsidP="00E40613">
      <w:pPr>
        <w:spacing w:after="0" w:line="360" w:lineRule="auto"/>
        <w:ind w:firstLine="720"/>
        <w:rPr>
          <w:rFonts w:ascii="Arial" w:eastAsia="Times New Roman" w:hAnsi="Arial" w:cs="Arial"/>
          <w:sz w:val="20"/>
          <w:szCs w:val="20"/>
        </w:rPr>
      </w:pPr>
      <w:r w:rsidRPr="00E40613">
        <w:rPr>
          <w:rFonts w:ascii="Arial" w:eastAsia="Times New Roman" w:hAnsi="Arial" w:cs="Arial"/>
          <w:color w:val="000000"/>
          <w:sz w:val="20"/>
          <w:szCs w:val="20"/>
        </w:rPr>
        <w:t xml:space="preserve">Gasholders London is a unique, luxury apartment complex designed by </w:t>
      </w:r>
      <w:proofErr w:type="spellStart"/>
      <w:r w:rsidRPr="00E40613">
        <w:rPr>
          <w:rFonts w:ascii="Arial" w:eastAsia="Times New Roman" w:hAnsi="Arial" w:cs="Arial"/>
          <w:color w:val="000000"/>
          <w:sz w:val="20"/>
          <w:szCs w:val="20"/>
        </w:rPr>
        <w:t>WilkinsonEyre</w:t>
      </w:r>
      <w:proofErr w:type="spellEnd"/>
      <w:r w:rsidRPr="00E40613">
        <w:rPr>
          <w:rFonts w:ascii="Arial" w:eastAsia="Times New Roman" w:hAnsi="Arial" w:cs="Arial"/>
          <w:color w:val="000000"/>
          <w:sz w:val="20"/>
          <w:szCs w:val="20"/>
        </w:rPr>
        <w:t xml:space="preserve"> Architects and constructed in 2018 in London, England. This apartment complex resides inside a historic triplet of cylindrical gasholder frames that were originally designed by engineers George </w:t>
      </w:r>
      <w:proofErr w:type="spellStart"/>
      <w:r w:rsidRPr="00E40613">
        <w:rPr>
          <w:rFonts w:ascii="Arial" w:eastAsia="Times New Roman" w:hAnsi="Arial" w:cs="Arial"/>
          <w:color w:val="000000"/>
          <w:sz w:val="20"/>
          <w:szCs w:val="20"/>
        </w:rPr>
        <w:t>Trewby</w:t>
      </w:r>
      <w:proofErr w:type="spellEnd"/>
      <w:r w:rsidRPr="00E40613">
        <w:rPr>
          <w:rFonts w:ascii="Arial" w:eastAsia="Times New Roman" w:hAnsi="Arial" w:cs="Arial"/>
          <w:color w:val="000000"/>
          <w:sz w:val="20"/>
          <w:szCs w:val="20"/>
        </w:rPr>
        <w:t xml:space="preserve"> and John Clark in 1880. Deemed “masterpieces of Victorian craft”, the wrought-iron gasholder frames are listed as Grade II architecture that is historically significant and must be preserved. After Shepley Engineers restored and re-erected the gasholders beside the Regent’s Canal, </w:t>
      </w:r>
      <w:proofErr w:type="spellStart"/>
      <w:r w:rsidRPr="00E40613">
        <w:rPr>
          <w:rFonts w:ascii="Arial" w:eastAsia="Times New Roman" w:hAnsi="Arial" w:cs="Arial"/>
          <w:color w:val="000000"/>
          <w:sz w:val="20"/>
          <w:szCs w:val="20"/>
        </w:rPr>
        <w:t>WilkinsonEyre</w:t>
      </w:r>
      <w:proofErr w:type="spellEnd"/>
      <w:r w:rsidRPr="00E40613">
        <w:rPr>
          <w:rFonts w:ascii="Arial" w:eastAsia="Times New Roman" w:hAnsi="Arial" w:cs="Arial"/>
          <w:color w:val="000000"/>
          <w:sz w:val="20"/>
          <w:szCs w:val="20"/>
        </w:rPr>
        <w:t xml:space="preserve"> Architects and Arup led the effort to repurpose these structures and celebrate the gasholders’ industrial iron columns and lattice beams with their </w:t>
      </w:r>
      <w:proofErr w:type="gramStart"/>
      <w:r w:rsidRPr="00E40613">
        <w:rPr>
          <w:rFonts w:ascii="Arial" w:eastAsia="Times New Roman" w:hAnsi="Arial" w:cs="Arial"/>
          <w:color w:val="000000"/>
          <w:sz w:val="20"/>
          <w:szCs w:val="20"/>
        </w:rPr>
        <w:t>design.¹</w:t>
      </w:r>
      <w:proofErr w:type="gramEnd"/>
    </w:p>
    <w:p w14:paraId="45922F71" w14:textId="77777777" w:rsidR="00E40613" w:rsidRPr="00E40613" w:rsidRDefault="00E40613" w:rsidP="00E40613">
      <w:pPr>
        <w:spacing w:after="0" w:line="360" w:lineRule="auto"/>
        <w:ind w:firstLine="720"/>
        <w:rPr>
          <w:rFonts w:ascii="Arial" w:eastAsia="Times New Roman" w:hAnsi="Arial" w:cs="Arial"/>
          <w:sz w:val="20"/>
          <w:szCs w:val="20"/>
        </w:rPr>
      </w:pPr>
      <w:r w:rsidRPr="00E40613">
        <w:rPr>
          <w:rFonts w:ascii="Arial" w:eastAsia="Times New Roman" w:hAnsi="Arial" w:cs="Arial"/>
          <w:color w:val="000000"/>
          <w:sz w:val="20"/>
          <w:szCs w:val="20"/>
        </w:rPr>
        <w:t xml:space="preserve">In considering the façade of the apartment complex, </w:t>
      </w:r>
      <w:proofErr w:type="spellStart"/>
      <w:r w:rsidRPr="00E40613">
        <w:rPr>
          <w:rFonts w:ascii="Arial" w:eastAsia="Times New Roman" w:hAnsi="Arial" w:cs="Arial"/>
          <w:color w:val="000000"/>
          <w:sz w:val="20"/>
          <w:szCs w:val="20"/>
        </w:rPr>
        <w:t>WilkinsonEyre</w:t>
      </w:r>
      <w:proofErr w:type="spellEnd"/>
      <w:r w:rsidRPr="00E40613">
        <w:rPr>
          <w:rFonts w:ascii="Arial" w:eastAsia="Times New Roman" w:hAnsi="Arial" w:cs="Arial"/>
          <w:color w:val="000000"/>
          <w:sz w:val="20"/>
          <w:szCs w:val="20"/>
        </w:rPr>
        <w:t xml:space="preserve"> Architects alluded to the old, metal reservoir tanks by incorporating perforated aluminum shutters surrounding the inner volume of the </w:t>
      </w:r>
      <w:proofErr w:type="gramStart"/>
      <w:r w:rsidRPr="00E40613">
        <w:rPr>
          <w:rFonts w:ascii="Arial" w:eastAsia="Times New Roman" w:hAnsi="Arial" w:cs="Arial"/>
          <w:color w:val="000000"/>
          <w:sz w:val="20"/>
          <w:szCs w:val="20"/>
        </w:rPr>
        <w:t>drums.²</w:t>
      </w:r>
      <w:proofErr w:type="gramEnd"/>
      <w:r w:rsidRPr="00E40613">
        <w:rPr>
          <w:rFonts w:ascii="Arial" w:eastAsia="Times New Roman" w:hAnsi="Arial" w:cs="Arial"/>
          <w:color w:val="000000"/>
          <w:sz w:val="20"/>
          <w:szCs w:val="20"/>
        </w:rPr>
        <w:t xml:space="preserve"> These motorized shutters are able to slide and fold, operate concurrently around the curved drums, and be controlled individually by the residents, creating several challenges for the structural design and construction of the façade. Due to the geometric and mechanical complexity of the shutters, Arup conducted a life-cycle analysis of the system and ran extensive wind load simulations to ensure that the shutters could handle strong winds in any orientation. Additionally, the installation of the shutters proved to be a challenge with the restricted access from the gasholder frames. To enable a feasible and efficient construction method, Arup introduced a modular system that allowed the prefabricated shutters to be hoisted into place through the structure of the gasholders. With the successful resolution of these challenges, the perforated shutters coincide with the gasholder frames to maintain the industrial exterior while also providing solar shading and privacy for the </w:t>
      </w:r>
      <w:proofErr w:type="gramStart"/>
      <w:r w:rsidRPr="00E40613">
        <w:rPr>
          <w:rFonts w:ascii="Arial" w:eastAsia="Times New Roman" w:hAnsi="Arial" w:cs="Arial"/>
          <w:color w:val="000000"/>
          <w:sz w:val="20"/>
          <w:szCs w:val="20"/>
        </w:rPr>
        <w:t>residents.³</w:t>
      </w:r>
      <w:proofErr w:type="gramEnd"/>
    </w:p>
    <w:p w14:paraId="1432D5D3" w14:textId="77777777" w:rsidR="00E40613" w:rsidRPr="00E40613" w:rsidRDefault="00E40613" w:rsidP="00E40613">
      <w:pPr>
        <w:spacing w:after="0" w:line="360" w:lineRule="auto"/>
        <w:rPr>
          <w:rFonts w:ascii="Arial" w:eastAsia="Times New Roman" w:hAnsi="Arial" w:cs="Arial"/>
          <w:sz w:val="20"/>
          <w:szCs w:val="20"/>
        </w:rPr>
      </w:pPr>
      <w:r w:rsidRPr="00E40613">
        <w:rPr>
          <w:rFonts w:ascii="Arial" w:eastAsia="Times New Roman" w:hAnsi="Arial" w:cs="Arial"/>
          <w:color w:val="000000"/>
          <w:sz w:val="20"/>
          <w:szCs w:val="20"/>
        </w:rPr>
        <w:tab/>
        <w:t xml:space="preserve">Another interesting component of Gasholders London is the radial geometry of the apartment volumes dictated by the cylindrical gasholders. </w:t>
      </w:r>
      <w:proofErr w:type="spellStart"/>
      <w:r w:rsidRPr="00E40613">
        <w:rPr>
          <w:rFonts w:ascii="Arial" w:eastAsia="Times New Roman" w:hAnsi="Arial" w:cs="Arial"/>
          <w:color w:val="000000"/>
          <w:sz w:val="20"/>
          <w:szCs w:val="20"/>
        </w:rPr>
        <w:t>WilkinsonEyre</w:t>
      </w:r>
      <w:proofErr w:type="spellEnd"/>
      <w:r w:rsidRPr="00E40613">
        <w:rPr>
          <w:rFonts w:ascii="Arial" w:eastAsia="Times New Roman" w:hAnsi="Arial" w:cs="Arial"/>
          <w:color w:val="000000"/>
          <w:sz w:val="20"/>
          <w:szCs w:val="20"/>
        </w:rPr>
        <w:t xml:space="preserve"> Architects developed a design of interlocking circles by removing an arc segment from each of the new volumes, forming a centralized atrium between all three gasholder frames. This open atrium prevents any of the apartment drums from obstructing the light of the interior apartments and exposes the complex intersection of the three gasholders to the courtyard below. Each of the volumes also contains a cylindrical atrium space that is utilized as a common area and connects to the various amenities and facilities on the ground and first </w:t>
      </w:r>
      <w:proofErr w:type="gramStart"/>
      <w:r w:rsidRPr="00E40613">
        <w:rPr>
          <w:rFonts w:ascii="Arial" w:eastAsia="Times New Roman" w:hAnsi="Arial" w:cs="Arial"/>
          <w:color w:val="000000"/>
          <w:sz w:val="20"/>
          <w:szCs w:val="20"/>
        </w:rPr>
        <w:t>floors.⁴</w:t>
      </w:r>
      <w:proofErr w:type="gramEnd"/>
      <w:r w:rsidRPr="00E40613">
        <w:rPr>
          <w:rFonts w:ascii="Arial" w:eastAsia="Times New Roman" w:hAnsi="Arial" w:cs="Arial"/>
          <w:color w:val="000000"/>
          <w:sz w:val="20"/>
          <w:szCs w:val="20"/>
        </w:rPr>
        <w:t xml:space="preserve"> As a result of this curvilinear geometry, the surrounding wedge-shaped residences, designed by Jonathan Tuckey Design, “radiate from the interior [entrance]...to the exterior edge” of the apartments and have unique interior elements that coincide with the building’s curves.⁵</w:t>
      </w:r>
    </w:p>
    <w:p w14:paraId="5CEF05BF" w14:textId="7EB48B02" w:rsidR="00E40613" w:rsidRPr="00E40613" w:rsidRDefault="00E40613" w:rsidP="00E40613">
      <w:pPr>
        <w:spacing w:after="0" w:line="360" w:lineRule="auto"/>
        <w:rPr>
          <w:rFonts w:ascii="Arial" w:eastAsia="Times New Roman" w:hAnsi="Arial" w:cs="Arial"/>
          <w:sz w:val="20"/>
          <w:szCs w:val="20"/>
        </w:rPr>
      </w:pPr>
      <w:r w:rsidRPr="00E40613">
        <w:rPr>
          <w:rFonts w:ascii="Arial" w:eastAsia="Times New Roman" w:hAnsi="Arial" w:cs="Arial"/>
          <w:sz w:val="20"/>
          <w:szCs w:val="20"/>
        </w:rPr>
        <w:br/>
      </w:r>
      <w:r w:rsidRPr="00E40613">
        <w:rPr>
          <w:rFonts w:ascii="Arial" w:eastAsia="Times New Roman" w:hAnsi="Arial" w:cs="Arial"/>
          <w:sz w:val="20"/>
          <w:szCs w:val="20"/>
        </w:rPr>
        <w:br/>
      </w:r>
      <w:r w:rsidRPr="00E40613">
        <w:rPr>
          <w:rFonts w:ascii="Arial" w:eastAsia="Times New Roman" w:hAnsi="Arial" w:cs="Arial"/>
          <w:sz w:val="20"/>
          <w:szCs w:val="20"/>
        </w:rPr>
        <w:br/>
      </w:r>
      <w:r w:rsidRPr="00E40613">
        <w:rPr>
          <w:rFonts w:ascii="Arial" w:eastAsia="Times New Roman" w:hAnsi="Arial" w:cs="Arial"/>
          <w:sz w:val="20"/>
          <w:szCs w:val="20"/>
        </w:rPr>
        <w:br/>
      </w:r>
      <w:r w:rsidRPr="00E40613">
        <w:rPr>
          <w:rFonts w:ascii="Arial" w:eastAsia="Times New Roman" w:hAnsi="Arial" w:cs="Arial"/>
          <w:color w:val="000000"/>
          <w:sz w:val="20"/>
          <w:szCs w:val="20"/>
        </w:rPr>
        <w:lastRenderedPageBreak/>
        <w:t xml:space="preserve">¹ Wright, Herbert. “Gasholders London: From Industrial Structures to Luxury Housing.” </w:t>
      </w:r>
      <w:proofErr w:type="spellStart"/>
      <w:r w:rsidRPr="00E40613">
        <w:rPr>
          <w:rFonts w:ascii="Arial" w:eastAsia="Times New Roman" w:hAnsi="Arial" w:cs="Arial"/>
          <w:color w:val="000000"/>
          <w:sz w:val="20"/>
          <w:szCs w:val="20"/>
        </w:rPr>
        <w:t>DesignCurial</w:t>
      </w:r>
      <w:proofErr w:type="spellEnd"/>
      <w:r w:rsidRPr="00E40613">
        <w:rPr>
          <w:rFonts w:ascii="Arial" w:eastAsia="Times New Roman" w:hAnsi="Arial" w:cs="Arial"/>
          <w:color w:val="000000"/>
          <w:sz w:val="20"/>
          <w:szCs w:val="20"/>
        </w:rPr>
        <w:t xml:space="preserve">, April 16, 2018. </w:t>
      </w:r>
      <w:hyperlink r:id="rId4" w:history="1">
        <w:r w:rsidRPr="00E40613">
          <w:rPr>
            <w:rFonts w:ascii="Arial" w:eastAsia="Times New Roman" w:hAnsi="Arial" w:cs="Arial"/>
            <w:color w:val="1155CC"/>
            <w:sz w:val="20"/>
            <w:szCs w:val="20"/>
            <w:u w:val="single"/>
          </w:rPr>
          <w:t>https://www.designcurial.com/news/gasholders-london-by-wilkinsoneyre-architects-6115274/</w:t>
        </w:r>
      </w:hyperlink>
      <w:r w:rsidRPr="00E40613">
        <w:rPr>
          <w:rFonts w:ascii="Arial" w:eastAsia="Times New Roman" w:hAnsi="Arial" w:cs="Arial"/>
          <w:color w:val="000000"/>
          <w:sz w:val="20"/>
          <w:szCs w:val="20"/>
        </w:rPr>
        <w:t>.</w:t>
      </w:r>
    </w:p>
    <w:p w14:paraId="58BC46A1" w14:textId="77777777" w:rsidR="00E40613" w:rsidRPr="00E40613" w:rsidRDefault="00E40613" w:rsidP="00E40613">
      <w:pPr>
        <w:spacing w:after="0" w:line="360" w:lineRule="auto"/>
        <w:rPr>
          <w:rFonts w:ascii="Arial" w:eastAsia="Times New Roman" w:hAnsi="Arial" w:cs="Arial"/>
          <w:sz w:val="20"/>
          <w:szCs w:val="20"/>
        </w:rPr>
      </w:pPr>
      <w:r w:rsidRPr="00E40613">
        <w:rPr>
          <w:rFonts w:ascii="Arial" w:eastAsia="Times New Roman" w:hAnsi="Arial" w:cs="Arial"/>
          <w:color w:val="000000"/>
          <w:sz w:val="20"/>
          <w:szCs w:val="20"/>
        </w:rPr>
        <w:t xml:space="preserve">² Pearman, Hugh. “Gasholders London by </w:t>
      </w:r>
      <w:proofErr w:type="spellStart"/>
      <w:r w:rsidRPr="00E40613">
        <w:rPr>
          <w:rFonts w:ascii="Arial" w:eastAsia="Times New Roman" w:hAnsi="Arial" w:cs="Arial"/>
          <w:color w:val="000000"/>
          <w:sz w:val="20"/>
          <w:szCs w:val="20"/>
        </w:rPr>
        <w:t>WilkinsonEyre</w:t>
      </w:r>
      <w:proofErr w:type="spellEnd"/>
      <w:r w:rsidRPr="00E40613">
        <w:rPr>
          <w:rFonts w:ascii="Arial" w:eastAsia="Times New Roman" w:hAnsi="Arial" w:cs="Arial"/>
          <w:color w:val="000000"/>
          <w:sz w:val="20"/>
          <w:szCs w:val="20"/>
        </w:rPr>
        <w:t xml:space="preserve">.” Architectural Record, April 19, 2018. </w:t>
      </w:r>
      <w:hyperlink r:id="rId5" w:history="1">
        <w:r w:rsidRPr="00E40613">
          <w:rPr>
            <w:rFonts w:ascii="Arial" w:eastAsia="Times New Roman" w:hAnsi="Arial" w:cs="Arial"/>
            <w:color w:val="1155CC"/>
            <w:sz w:val="20"/>
            <w:szCs w:val="20"/>
            <w:u w:val="single"/>
          </w:rPr>
          <w:t>https://www.architecturalrecord.com/articles/13320-gasholders-london-by-wilkinsoneyre</w:t>
        </w:r>
      </w:hyperlink>
      <w:r w:rsidRPr="00E40613">
        <w:rPr>
          <w:rFonts w:ascii="Arial" w:eastAsia="Times New Roman" w:hAnsi="Arial" w:cs="Arial"/>
          <w:color w:val="000000"/>
          <w:sz w:val="20"/>
          <w:szCs w:val="20"/>
        </w:rPr>
        <w:t>.</w:t>
      </w:r>
    </w:p>
    <w:p w14:paraId="49EE6AF3" w14:textId="77777777" w:rsidR="00E40613" w:rsidRPr="00E40613" w:rsidRDefault="00E40613" w:rsidP="00E40613">
      <w:pPr>
        <w:spacing w:after="0" w:line="360" w:lineRule="auto"/>
        <w:rPr>
          <w:rFonts w:ascii="Arial" w:eastAsia="Times New Roman" w:hAnsi="Arial" w:cs="Arial"/>
          <w:sz w:val="20"/>
          <w:szCs w:val="20"/>
        </w:rPr>
      </w:pPr>
      <w:r w:rsidRPr="00E40613">
        <w:rPr>
          <w:rFonts w:ascii="Arial" w:eastAsia="Times New Roman" w:hAnsi="Arial" w:cs="Arial"/>
          <w:color w:val="000000"/>
          <w:sz w:val="20"/>
          <w:szCs w:val="20"/>
        </w:rPr>
        <w:t xml:space="preserve">³ “How Do You Turn an Industrial Structure into a Unique Residential Development?” Arup. Accessed January 27, 2022. </w:t>
      </w:r>
      <w:hyperlink r:id="rId6" w:history="1">
        <w:r w:rsidRPr="00E40613">
          <w:rPr>
            <w:rFonts w:ascii="Arial" w:eastAsia="Times New Roman" w:hAnsi="Arial" w:cs="Arial"/>
            <w:color w:val="1155CC"/>
            <w:sz w:val="20"/>
            <w:szCs w:val="20"/>
            <w:u w:val="single"/>
          </w:rPr>
          <w:t>https://www.arup.com/projects/gasholders</w:t>
        </w:r>
      </w:hyperlink>
      <w:r w:rsidRPr="00E40613">
        <w:rPr>
          <w:rFonts w:ascii="Arial" w:eastAsia="Times New Roman" w:hAnsi="Arial" w:cs="Arial"/>
          <w:color w:val="000000"/>
          <w:sz w:val="20"/>
          <w:szCs w:val="20"/>
        </w:rPr>
        <w:t>.</w:t>
      </w:r>
    </w:p>
    <w:p w14:paraId="5A89CBA9" w14:textId="77777777" w:rsidR="00E40613" w:rsidRPr="00E40613" w:rsidRDefault="00E40613" w:rsidP="00E40613">
      <w:pPr>
        <w:spacing w:after="0" w:line="360" w:lineRule="auto"/>
        <w:rPr>
          <w:rFonts w:ascii="Arial" w:eastAsia="Times New Roman" w:hAnsi="Arial" w:cs="Arial"/>
          <w:sz w:val="20"/>
          <w:szCs w:val="20"/>
        </w:rPr>
      </w:pPr>
      <w:r w:rsidRPr="00E40613">
        <w:rPr>
          <w:rFonts w:ascii="Arial" w:eastAsia="Times New Roman" w:hAnsi="Arial" w:cs="Arial"/>
          <w:color w:val="000000"/>
          <w:sz w:val="20"/>
          <w:szCs w:val="20"/>
        </w:rPr>
        <w:t xml:space="preserve">⁴ Pearman, “Gasholders London by </w:t>
      </w:r>
      <w:proofErr w:type="spellStart"/>
      <w:r w:rsidRPr="00E40613">
        <w:rPr>
          <w:rFonts w:ascii="Arial" w:eastAsia="Times New Roman" w:hAnsi="Arial" w:cs="Arial"/>
          <w:color w:val="000000"/>
          <w:sz w:val="20"/>
          <w:szCs w:val="20"/>
        </w:rPr>
        <w:t>WilkinsonEyre</w:t>
      </w:r>
      <w:proofErr w:type="spellEnd"/>
      <w:r w:rsidRPr="00E40613">
        <w:rPr>
          <w:rFonts w:ascii="Arial" w:eastAsia="Times New Roman" w:hAnsi="Arial" w:cs="Arial"/>
          <w:color w:val="000000"/>
          <w:sz w:val="20"/>
          <w:szCs w:val="20"/>
        </w:rPr>
        <w:t>”.</w:t>
      </w:r>
    </w:p>
    <w:p w14:paraId="7356F4FF" w14:textId="77777777" w:rsidR="00E40613" w:rsidRPr="00E40613" w:rsidRDefault="00E40613" w:rsidP="00E40613">
      <w:pPr>
        <w:spacing w:after="0" w:line="360" w:lineRule="auto"/>
        <w:rPr>
          <w:rFonts w:ascii="Arial" w:eastAsia="Times New Roman" w:hAnsi="Arial" w:cs="Arial"/>
          <w:sz w:val="20"/>
          <w:szCs w:val="20"/>
        </w:rPr>
      </w:pPr>
      <w:r w:rsidRPr="00E40613">
        <w:rPr>
          <w:rFonts w:ascii="Arial" w:eastAsia="Times New Roman" w:hAnsi="Arial" w:cs="Arial"/>
          <w:color w:val="000000"/>
          <w:sz w:val="20"/>
          <w:szCs w:val="20"/>
        </w:rPr>
        <w:t>⁵ Wright, “Gasholders London: From Industrial Structures to Luxury Housing”.</w:t>
      </w:r>
    </w:p>
    <w:p w14:paraId="6A01DC56" w14:textId="77777777" w:rsidR="00E40613" w:rsidRPr="00E40613" w:rsidRDefault="00E40613" w:rsidP="00E40613">
      <w:pPr>
        <w:spacing w:after="0" w:line="360" w:lineRule="auto"/>
        <w:rPr>
          <w:rFonts w:ascii="Arial" w:eastAsia="Times New Roman" w:hAnsi="Arial" w:cs="Arial"/>
          <w:sz w:val="20"/>
          <w:szCs w:val="20"/>
        </w:rPr>
      </w:pPr>
    </w:p>
    <w:p w14:paraId="646EB944" w14:textId="667369A6" w:rsidR="00E40613" w:rsidRPr="00E40613" w:rsidRDefault="00E40613" w:rsidP="00E40613">
      <w:pPr>
        <w:spacing w:after="0" w:line="360" w:lineRule="auto"/>
        <w:jc w:val="center"/>
        <w:rPr>
          <w:rFonts w:ascii="Arial" w:eastAsia="Times New Roman" w:hAnsi="Arial" w:cs="Arial"/>
          <w:sz w:val="20"/>
          <w:szCs w:val="20"/>
        </w:rPr>
      </w:pPr>
      <w:r w:rsidRPr="00E40613">
        <w:rPr>
          <w:rFonts w:ascii="Arial" w:eastAsia="Times New Roman" w:hAnsi="Arial" w:cs="Arial"/>
          <w:noProof/>
          <w:color w:val="000000"/>
          <w:sz w:val="20"/>
          <w:szCs w:val="20"/>
          <w:bdr w:val="none" w:sz="0" w:space="0" w:color="auto" w:frame="1"/>
        </w:rPr>
        <w:drawing>
          <wp:inline distT="0" distB="0" distL="0" distR="0" wp14:anchorId="31543102" wp14:editId="582033E3">
            <wp:extent cx="3060700" cy="2032000"/>
            <wp:effectExtent l="0" t="0" r="6350" b="6350"/>
            <wp:docPr id="5" name="Picture 5" descr="A picture containing outdoor, building, t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outdoor, building, tower&#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60700" cy="2032000"/>
                    </a:xfrm>
                    <a:prstGeom prst="rect">
                      <a:avLst/>
                    </a:prstGeom>
                    <a:noFill/>
                    <a:ln>
                      <a:noFill/>
                    </a:ln>
                  </pic:spPr>
                </pic:pic>
              </a:graphicData>
            </a:graphic>
          </wp:inline>
        </w:drawing>
      </w:r>
      <w:r w:rsidRPr="00E40613">
        <w:rPr>
          <w:rFonts w:ascii="Arial" w:eastAsia="Times New Roman" w:hAnsi="Arial" w:cs="Arial"/>
          <w:color w:val="000000"/>
          <w:sz w:val="20"/>
          <w:szCs w:val="20"/>
        </w:rPr>
        <w:t xml:space="preserve">    </w:t>
      </w:r>
      <w:r w:rsidRPr="00E40613">
        <w:rPr>
          <w:rFonts w:ascii="Arial" w:eastAsia="Times New Roman" w:hAnsi="Arial" w:cs="Arial"/>
          <w:noProof/>
          <w:color w:val="000000"/>
          <w:sz w:val="20"/>
          <w:szCs w:val="20"/>
          <w:bdr w:val="none" w:sz="0" w:space="0" w:color="auto" w:frame="1"/>
        </w:rPr>
        <w:drawing>
          <wp:inline distT="0" distB="0" distL="0" distR="0" wp14:anchorId="05E8D719" wp14:editId="4E9E1B99">
            <wp:extent cx="1981200" cy="2019300"/>
            <wp:effectExtent l="0" t="0" r="0" b="0"/>
            <wp:docPr id="4" name="Picture 4" descr="A picture containing met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metal&#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81200" cy="2019300"/>
                    </a:xfrm>
                    <a:prstGeom prst="rect">
                      <a:avLst/>
                    </a:prstGeom>
                    <a:noFill/>
                    <a:ln>
                      <a:noFill/>
                    </a:ln>
                  </pic:spPr>
                </pic:pic>
              </a:graphicData>
            </a:graphic>
          </wp:inline>
        </w:drawing>
      </w:r>
      <w:r w:rsidRPr="00E40613">
        <w:rPr>
          <w:rFonts w:ascii="Arial" w:eastAsia="Times New Roman" w:hAnsi="Arial" w:cs="Arial"/>
          <w:noProof/>
          <w:color w:val="000000"/>
          <w:sz w:val="20"/>
          <w:szCs w:val="20"/>
          <w:bdr w:val="none" w:sz="0" w:space="0" w:color="auto" w:frame="1"/>
        </w:rPr>
        <w:drawing>
          <wp:inline distT="0" distB="0" distL="0" distR="0" wp14:anchorId="5090847E" wp14:editId="2FC12C05">
            <wp:extent cx="2552700" cy="1917700"/>
            <wp:effectExtent l="0" t="0" r="0" b="6350"/>
            <wp:docPr id="3" name="Picture 3" descr="A picture containing indoor, floor, table,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indoor, floor, table, wall&#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52700" cy="1917700"/>
                    </a:xfrm>
                    <a:prstGeom prst="rect">
                      <a:avLst/>
                    </a:prstGeom>
                    <a:noFill/>
                    <a:ln>
                      <a:noFill/>
                    </a:ln>
                  </pic:spPr>
                </pic:pic>
              </a:graphicData>
            </a:graphic>
          </wp:inline>
        </w:drawing>
      </w:r>
      <w:r w:rsidRPr="00E40613">
        <w:rPr>
          <w:rFonts w:ascii="Arial" w:eastAsia="Times New Roman" w:hAnsi="Arial" w:cs="Arial"/>
          <w:color w:val="000000"/>
          <w:sz w:val="20"/>
          <w:szCs w:val="20"/>
        </w:rPr>
        <w:t xml:space="preserve">   </w:t>
      </w:r>
      <w:r w:rsidRPr="00E40613">
        <w:rPr>
          <w:rFonts w:ascii="Arial" w:eastAsia="Times New Roman" w:hAnsi="Arial" w:cs="Arial"/>
          <w:noProof/>
          <w:color w:val="000000"/>
          <w:sz w:val="20"/>
          <w:szCs w:val="20"/>
          <w:bdr w:val="none" w:sz="0" w:space="0" w:color="auto" w:frame="1"/>
        </w:rPr>
        <w:drawing>
          <wp:inline distT="0" distB="0" distL="0" distR="0" wp14:anchorId="5337A845" wp14:editId="169CFCFB">
            <wp:extent cx="2901950" cy="1924050"/>
            <wp:effectExtent l="0" t="0" r="0" b="0"/>
            <wp:docPr id="2" name="Picture 2" descr="A picture containing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building&#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01950" cy="1924050"/>
                    </a:xfrm>
                    <a:prstGeom prst="rect">
                      <a:avLst/>
                    </a:prstGeom>
                    <a:noFill/>
                    <a:ln>
                      <a:noFill/>
                    </a:ln>
                  </pic:spPr>
                </pic:pic>
              </a:graphicData>
            </a:graphic>
          </wp:inline>
        </w:drawing>
      </w:r>
    </w:p>
    <w:p w14:paraId="7EABD304" w14:textId="31A79DA9" w:rsidR="00E40613" w:rsidRPr="00E40613" w:rsidRDefault="00E40613" w:rsidP="00E40613">
      <w:pPr>
        <w:spacing w:after="0" w:line="360" w:lineRule="auto"/>
        <w:jc w:val="center"/>
        <w:rPr>
          <w:rFonts w:ascii="Arial" w:eastAsia="Times New Roman" w:hAnsi="Arial" w:cs="Arial"/>
          <w:sz w:val="20"/>
          <w:szCs w:val="20"/>
        </w:rPr>
      </w:pPr>
    </w:p>
    <w:sectPr w:rsidR="00E40613" w:rsidRPr="00E406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613"/>
    <w:rsid w:val="00E406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85BC0"/>
  <w15:chartTrackingRefBased/>
  <w15:docId w15:val="{A57D1E48-E562-471D-9A3A-88945ABE2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4061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E40613"/>
  </w:style>
  <w:style w:type="character" w:styleId="Hyperlink">
    <w:name w:val="Hyperlink"/>
    <w:basedOn w:val="DefaultParagraphFont"/>
    <w:uiPriority w:val="99"/>
    <w:semiHidden/>
    <w:unhideWhenUsed/>
    <w:rsid w:val="00E4061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7422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rup.com/projects/gasholders" TargetMode="External"/><Relationship Id="rId11" Type="http://schemas.openxmlformats.org/officeDocument/2006/relationships/fontTable" Target="fontTable.xml"/><Relationship Id="rId5" Type="http://schemas.openxmlformats.org/officeDocument/2006/relationships/hyperlink" Target="https://www.architecturalrecord.com/articles/13320-gasholders-london-by-wilkinsoneyre" TargetMode="External"/><Relationship Id="rId10" Type="http://schemas.openxmlformats.org/officeDocument/2006/relationships/image" Target="media/image4.jpeg"/><Relationship Id="rId4" Type="http://schemas.openxmlformats.org/officeDocument/2006/relationships/hyperlink" Target="https://www.designcurial.com/news/gasholders-london-by-wilkinsoneyre-architects-6115274/"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587</Words>
  <Characters>3346</Characters>
  <Application>Microsoft Office Word</Application>
  <DocSecurity>0</DocSecurity>
  <Lines>27</Lines>
  <Paragraphs>7</Paragraphs>
  <ScaleCrop>false</ScaleCrop>
  <Company/>
  <LinksUpToDate>false</LinksUpToDate>
  <CharactersWithSpaces>3926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Katelyn Dill</dc:creator>
  <cp:keywords/>
  <dc:description/>
  <cp:lastModifiedBy>Katelyn Dill</cp:lastModifiedBy>
  <cp:revision>1</cp:revision>
  <dcterms:created xsi:type="dcterms:W3CDTF">2022-02-08T18:52:00Z</dcterms:created>
  <dcterms:modified xsi:type="dcterms:W3CDTF">2022-02-08T18:53:00Z</dcterms:modified>
</cp:coreProperties>
</file>