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50AE7" w14:textId="77777777" w:rsidR="00275F4E" w:rsidRPr="00275F4E" w:rsidRDefault="00275F4E" w:rsidP="00275F4E">
      <w:pPr>
        <w:spacing w:after="0" w:line="360" w:lineRule="auto"/>
        <w:jc w:val="center"/>
        <w:rPr>
          <w:rFonts w:ascii="Arial" w:eastAsia="Times New Roman" w:hAnsi="Arial" w:cs="Arial"/>
          <w:sz w:val="20"/>
          <w:szCs w:val="20"/>
        </w:rPr>
      </w:pPr>
      <w:proofErr w:type="spellStart"/>
      <w:r w:rsidRPr="00275F4E">
        <w:rPr>
          <w:rFonts w:ascii="Arial" w:eastAsia="Times New Roman" w:hAnsi="Arial" w:cs="Arial"/>
          <w:color w:val="000000"/>
          <w:sz w:val="20"/>
          <w:szCs w:val="20"/>
          <w:u w:val="single"/>
        </w:rPr>
        <w:t>iCarbonX</w:t>
      </w:r>
      <w:proofErr w:type="spellEnd"/>
      <w:r w:rsidRPr="00275F4E">
        <w:rPr>
          <w:rFonts w:ascii="Arial" w:eastAsia="Times New Roman" w:hAnsi="Arial" w:cs="Arial"/>
          <w:color w:val="000000"/>
          <w:sz w:val="20"/>
          <w:szCs w:val="20"/>
          <w:u w:val="single"/>
        </w:rPr>
        <w:t xml:space="preserve"> Headquarters - Shenzhen, China</w:t>
      </w:r>
    </w:p>
    <w:p w14:paraId="1870059B" w14:textId="77777777" w:rsidR="00275F4E" w:rsidRPr="00275F4E" w:rsidRDefault="00275F4E" w:rsidP="00275F4E">
      <w:pPr>
        <w:spacing w:after="0" w:line="360" w:lineRule="auto"/>
        <w:jc w:val="center"/>
        <w:rPr>
          <w:rFonts w:ascii="Arial" w:eastAsia="Times New Roman" w:hAnsi="Arial" w:cs="Arial"/>
          <w:sz w:val="20"/>
          <w:szCs w:val="20"/>
        </w:rPr>
      </w:pPr>
      <w:r w:rsidRPr="00275F4E">
        <w:rPr>
          <w:rFonts w:ascii="Arial" w:eastAsia="Times New Roman" w:hAnsi="Arial" w:cs="Arial"/>
          <w:color w:val="000000"/>
          <w:sz w:val="20"/>
          <w:szCs w:val="20"/>
        </w:rPr>
        <w:t>Essay by Katelyn Dill</w:t>
      </w:r>
    </w:p>
    <w:p w14:paraId="1C93BBF1" w14:textId="77777777" w:rsidR="00275F4E" w:rsidRPr="00275F4E" w:rsidRDefault="00275F4E" w:rsidP="00275F4E">
      <w:pPr>
        <w:spacing w:after="0" w:line="360" w:lineRule="auto"/>
        <w:rPr>
          <w:rFonts w:ascii="Arial" w:eastAsia="Times New Roman" w:hAnsi="Arial" w:cs="Arial"/>
          <w:sz w:val="20"/>
          <w:szCs w:val="20"/>
        </w:rPr>
      </w:pPr>
    </w:p>
    <w:p w14:paraId="6A9DBB9A" w14:textId="77777777" w:rsidR="00275F4E" w:rsidRPr="00275F4E" w:rsidRDefault="00275F4E" w:rsidP="00275F4E">
      <w:pPr>
        <w:spacing w:after="0" w:line="360" w:lineRule="auto"/>
        <w:rPr>
          <w:rFonts w:ascii="Arial" w:eastAsia="Times New Roman" w:hAnsi="Arial" w:cs="Arial"/>
          <w:sz w:val="20"/>
          <w:szCs w:val="20"/>
        </w:rPr>
      </w:pPr>
      <w:r w:rsidRPr="00275F4E">
        <w:rPr>
          <w:rFonts w:ascii="Arial" w:eastAsia="Times New Roman" w:hAnsi="Arial" w:cs="Arial"/>
          <w:color w:val="000000"/>
          <w:sz w:val="20"/>
          <w:szCs w:val="20"/>
        </w:rPr>
        <w:tab/>
        <w:t xml:space="preserve">The new headquarters for </w:t>
      </w:r>
      <w:proofErr w:type="spellStart"/>
      <w:r w:rsidRPr="00275F4E">
        <w:rPr>
          <w:rFonts w:ascii="Arial" w:eastAsia="Times New Roman" w:hAnsi="Arial" w:cs="Arial"/>
          <w:color w:val="000000"/>
          <w:sz w:val="20"/>
          <w:szCs w:val="20"/>
        </w:rPr>
        <w:t>iCarbonX</w:t>
      </w:r>
      <w:proofErr w:type="spellEnd"/>
      <w:r w:rsidRPr="00275F4E">
        <w:rPr>
          <w:rFonts w:ascii="Arial" w:eastAsia="Times New Roman" w:hAnsi="Arial" w:cs="Arial"/>
          <w:color w:val="000000"/>
          <w:sz w:val="20"/>
          <w:szCs w:val="20"/>
        </w:rPr>
        <w:t xml:space="preserve">, a genome research and intelligence company, is currently under construction in Shenzhen, China. Steven Holl Architects (SHA) won the competition for their design, which was inspired by </w:t>
      </w:r>
      <w:proofErr w:type="spellStart"/>
      <w:r w:rsidRPr="00275F4E">
        <w:rPr>
          <w:rFonts w:ascii="Arial" w:eastAsia="Times New Roman" w:hAnsi="Arial" w:cs="Arial"/>
          <w:color w:val="000000"/>
          <w:sz w:val="20"/>
          <w:szCs w:val="20"/>
        </w:rPr>
        <w:t>iCarbonX’s</w:t>
      </w:r>
      <w:proofErr w:type="spellEnd"/>
      <w:r w:rsidRPr="00275F4E">
        <w:rPr>
          <w:rFonts w:ascii="Arial" w:eastAsia="Times New Roman" w:hAnsi="Arial" w:cs="Arial"/>
          <w:color w:val="000000"/>
          <w:sz w:val="20"/>
          <w:szCs w:val="20"/>
        </w:rPr>
        <w:t xml:space="preserve"> work related to genes and biology. Intending to resemble a strand of DNA, the building is composed of two high-rise towers that are connected by garden bridges. The smaller 150m tower, referred to as Body A, is “the Living element” and houses residential spaces, while the larger 200m tower, referred to as Body B, is “the Working element” and houses offices, research labs, and public </w:t>
      </w:r>
      <w:proofErr w:type="gramStart"/>
      <w:r w:rsidRPr="00275F4E">
        <w:rPr>
          <w:rFonts w:ascii="Arial" w:eastAsia="Times New Roman" w:hAnsi="Arial" w:cs="Arial"/>
          <w:color w:val="000000"/>
          <w:sz w:val="20"/>
          <w:szCs w:val="20"/>
        </w:rPr>
        <w:t>spaces.¹</w:t>
      </w:r>
      <w:proofErr w:type="gramEnd"/>
    </w:p>
    <w:p w14:paraId="403305D8" w14:textId="77777777" w:rsidR="00275F4E" w:rsidRPr="00275F4E" w:rsidRDefault="00275F4E" w:rsidP="00275F4E">
      <w:pPr>
        <w:spacing w:after="0" w:line="360" w:lineRule="auto"/>
        <w:rPr>
          <w:rFonts w:ascii="Arial" w:eastAsia="Times New Roman" w:hAnsi="Arial" w:cs="Arial"/>
          <w:sz w:val="20"/>
          <w:szCs w:val="20"/>
        </w:rPr>
      </w:pPr>
      <w:r w:rsidRPr="00275F4E">
        <w:rPr>
          <w:rFonts w:ascii="Arial" w:eastAsia="Times New Roman" w:hAnsi="Arial" w:cs="Arial"/>
          <w:color w:val="000000"/>
          <w:sz w:val="20"/>
          <w:szCs w:val="20"/>
        </w:rPr>
        <w:tab/>
        <w:t xml:space="preserve">The shapes of the two towers are both curvilinear; however, the residential block is cylindrical while the office block is more rectangular with a dramatic, sail-like curve. Despite these differences in shape and the different purposes being served by the towers, they both have similar façade designs with SHA’s use of glass curtain walls surrounding both towers. These uniform curtain walls allow the separate towers to appear more united while also utilizing “varying translucencies” of the glass in order to regulate the daylighting for different uses of space throughout the </w:t>
      </w:r>
      <w:proofErr w:type="gramStart"/>
      <w:r w:rsidRPr="00275F4E">
        <w:rPr>
          <w:rFonts w:ascii="Arial" w:eastAsia="Times New Roman" w:hAnsi="Arial" w:cs="Arial"/>
          <w:color w:val="000000"/>
          <w:sz w:val="20"/>
          <w:szCs w:val="20"/>
        </w:rPr>
        <w:t>building.²</w:t>
      </w:r>
      <w:proofErr w:type="gramEnd"/>
    </w:p>
    <w:p w14:paraId="007415D3" w14:textId="77777777" w:rsidR="00275F4E" w:rsidRPr="00275F4E" w:rsidRDefault="00275F4E" w:rsidP="00275F4E">
      <w:pPr>
        <w:spacing w:after="0" w:line="360" w:lineRule="auto"/>
        <w:rPr>
          <w:rFonts w:ascii="Arial" w:eastAsia="Times New Roman" w:hAnsi="Arial" w:cs="Arial"/>
          <w:sz w:val="20"/>
          <w:szCs w:val="20"/>
        </w:rPr>
      </w:pPr>
      <w:r w:rsidRPr="00275F4E">
        <w:rPr>
          <w:rFonts w:ascii="Arial" w:eastAsia="Times New Roman" w:hAnsi="Arial" w:cs="Arial"/>
          <w:color w:val="000000"/>
          <w:sz w:val="20"/>
          <w:szCs w:val="20"/>
        </w:rPr>
        <w:tab/>
        <w:t xml:space="preserve">Along with the residential and office towers, SHA utilized several garden bridges to resemble the carbon bonds of a DNA structure as well as to connect the Living and Working elements of the building. The upper two bridges connect the gym in the residential block to restaurants in the office block, forming a “health and nutrition circuit”. The lower two bridges connect the building’s public spaces, including meeting spaces, art galleries, and the </w:t>
      </w:r>
      <w:proofErr w:type="spellStart"/>
      <w:r w:rsidRPr="00275F4E">
        <w:rPr>
          <w:rFonts w:ascii="Arial" w:eastAsia="Times New Roman" w:hAnsi="Arial" w:cs="Arial"/>
          <w:color w:val="000000"/>
          <w:sz w:val="20"/>
          <w:szCs w:val="20"/>
        </w:rPr>
        <w:t>iCarbonX</w:t>
      </w:r>
      <w:proofErr w:type="spellEnd"/>
      <w:r w:rsidRPr="00275F4E">
        <w:rPr>
          <w:rFonts w:ascii="Arial" w:eastAsia="Times New Roman" w:hAnsi="Arial" w:cs="Arial"/>
          <w:color w:val="000000"/>
          <w:sz w:val="20"/>
          <w:szCs w:val="20"/>
        </w:rPr>
        <w:t xml:space="preserve"> </w:t>
      </w:r>
      <w:proofErr w:type="gramStart"/>
      <w:r w:rsidRPr="00275F4E">
        <w:rPr>
          <w:rFonts w:ascii="Arial" w:eastAsia="Times New Roman" w:hAnsi="Arial" w:cs="Arial"/>
          <w:color w:val="000000"/>
          <w:sz w:val="20"/>
          <w:szCs w:val="20"/>
        </w:rPr>
        <w:t>clinic.³</w:t>
      </w:r>
      <w:proofErr w:type="gramEnd"/>
      <w:r w:rsidRPr="00275F4E">
        <w:rPr>
          <w:rFonts w:ascii="Arial" w:eastAsia="Times New Roman" w:hAnsi="Arial" w:cs="Arial"/>
          <w:color w:val="000000"/>
          <w:sz w:val="20"/>
          <w:szCs w:val="20"/>
        </w:rPr>
        <w:t xml:space="preserve"> These four bridges are held in suspension with the steel structure minimized to maintain the sleek, glass curtain wall façade of the building. The downplayed structure of the suspension bridges also allows the onlooker’s attention to be drawn to the native, tropical plants that fill the bridges. These garden bridges as well as the property surrounding the building will be home to over 40 local planting species, enhancing the landscape and the occupants’ connection to the outside </w:t>
      </w:r>
      <w:proofErr w:type="gramStart"/>
      <w:r w:rsidRPr="00275F4E">
        <w:rPr>
          <w:rFonts w:ascii="Arial" w:eastAsia="Times New Roman" w:hAnsi="Arial" w:cs="Arial"/>
          <w:color w:val="000000"/>
          <w:sz w:val="20"/>
          <w:szCs w:val="20"/>
        </w:rPr>
        <w:t>world.⁴</w:t>
      </w:r>
      <w:proofErr w:type="gramEnd"/>
    </w:p>
    <w:p w14:paraId="0075F7C7" w14:textId="77777777" w:rsidR="00275F4E" w:rsidRPr="00275F4E" w:rsidRDefault="00275F4E" w:rsidP="00275F4E">
      <w:pPr>
        <w:spacing w:after="0" w:line="360" w:lineRule="auto"/>
        <w:rPr>
          <w:rFonts w:ascii="Arial" w:eastAsia="Times New Roman" w:hAnsi="Arial" w:cs="Arial"/>
          <w:sz w:val="20"/>
          <w:szCs w:val="20"/>
        </w:rPr>
      </w:pPr>
      <w:r w:rsidRPr="00275F4E">
        <w:rPr>
          <w:rFonts w:ascii="Arial" w:eastAsia="Times New Roman" w:hAnsi="Arial" w:cs="Arial"/>
          <w:color w:val="000000"/>
          <w:sz w:val="20"/>
          <w:szCs w:val="20"/>
        </w:rPr>
        <w:tab/>
        <w:t xml:space="preserve">In addition to the architectural and structural features of the </w:t>
      </w:r>
      <w:proofErr w:type="spellStart"/>
      <w:r w:rsidRPr="00275F4E">
        <w:rPr>
          <w:rFonts w:ascii="Arial" w:eastAsia="Times New Roman" w:hAnsi="Arial" w:cs="Arial"/>
          <w:color w:val="000000"/>
          <w:sz w:val="20"/>
          <w:szCs w:val="20"/>
        </w:rPr>
        <w:t>iCarbonX</w:t>
      </w:r>
      <w:proofErr w:type="spellEnd"/>
      <w:r w:rsidRPr="00275F4E">
        <w:rPr>
          <w:rFonts w:ascii="Arial" w:eastAsia="Times New Roman" w:hAnsi="Arial" w:cs="Arial"/>
          <w:color w:val="000000"/>
          <w:sz w:val="20"/>
          <w:szCs w:val="20"/>
        </w:rPr>
        <w:t xml:space="preserve"> Headquarters, the ecological innovation of this project has also been significant. By implementing a gray water and recycling system and following the run-off control measures of a “sponge city”, the building’s energy footprint and water usage will be reduced. Moreover, the </w:t>
      </w:r>
      <w:proofErr w:type="spellStart"/>
      <w:r w:rsidRPr="00275F4E">
        <w:rPr>
          <w:rFonts w:ascii="Arial" w:eastAsia="Times New Roman" w:hAnsi="Arial" w:cs="Arial"/>
          <w:color w:val="000000"/>
          <w:sz w:val="20"/>
          <w:szCs w:val="20"/>
        </w:rPr>
        <w:t>iCarbonX</w:t>
      </w:r>
      <w:proofErr w:type="spellEnd"/>
      <w:r w:rsidRPr="00275F4E">
        <w:rPr>
          <w:rFonts w:ascii="Arial" w:eastAsia="Times New Roman" w:hAnsi="Arial" w:cs="Arial"/>
          <w:color w:val="000000"/>
          <w:sz w:val="20"/>
          <w:szCs w:val="20"/>
        </w:rPr>
        <w:t xml:space="preserve"> headquarters will utilize centralized MEP systems and natural light and ventilation considerations to further reduce its energy consumption. As a result of these efforts, the building has earned the Shenzhen Silver Green certification for its sustainable and energy efficient </w:t>
      </w:r>
      <w:proofErr w:type="gramStart"/>
      <w:r w:rsidRPr="00275F4E">
        <w:rPr>
          <w:rFonts w:ascii="Arial" w:eastAsia="Times New Roman" w:hAnsi="Arial" w:cs="Arial"/>
          <w:color w:val="000000"/>
          <w:sz w:val="20"/>
          <w:szCs w:val="20"/>
        </w:rPr>
        <w:t>design.⁵</w:t>
      </w:r>
      <w:proofErr w:type="gramEnd"/>
    </w:p>
    <w:p w14:paraId="48AF42A5" w14:textId="77777777" w:rsidR="00275F4E" w:rsidRPr="00275F4E" w:rsidRDefault="00275F4E" w:rsidP="00275F4E">
      <w:pPr>
        <w:spacing w:after="240" w:line="360" w:lineRule="auto"/>
        <w:rPr>
          <w:rFonts w:ascii="Arial" w:eastAsia="Times New Roman" w:hAnsi="Arial" w:cs="Arial"/>
          <w:sz w:val="20"/>
          <w:szCs w:val="20"/>
        </w:rPr>
      </w:pPr>
      <w:r w:rsidRPr="00275F4E">
        <w:rPr>
          <w:rFonts w:ascii="Arial" w:eastAsia="Times New Roman" w:hAnsi="Arial" w:cs="Arial"/>
          <w:sz w:val="20"/>
          <w:szCs w:val="20"/>
        </w:rPr>
        <w:br/>
      </w:r>
      <w:r w:rsidRPr="00275F4E">
        <w:rPr>
          <w:rFonts w:ascii="Arial" w:eastAsia="Times New Roman" w:hAnsi="Arial" w:cs="Arial"/>
          <w:sz w:val="20"/>
          <w:szCs w:val="20"/>
        </w:rPr>
        <w:br/>
      </w:r>
    </w:p>
    <w:p w14:paraId="069C7F82" w14:textId="77777777" w:rsidR="00275F4E" w:rsidRPr="00275F4E" w:rsidRDefault="00275F4E" w:rsidP="00275F4E">
      <w:pPr>
        <w:spacing w:after="0" w:line="360" w:lineRule="auto"/>
        <w:rPr>
          <w:rFonts w:ascii="Arial" w:eastAsia="Times New Roman" w:hAnsi="Arial" w:cs="Arial"/>
          <w:sz w:val="20"/>
          <w:szCs w:val="20"/>
        </w:rPr>
      </w:pPr>
      <w:r w:rsidRPr="00275F4E">
        <w:rPr>
          <w:rFonts w:ascii="Arial" w:eastAsia="Times New Roman" w:hAnsi="Arial" w:cs="Arial"/>
          <w:color w:val="000000"/>
          <w:sz w:val="20"/>
          <w:szCs w:val="20"/>
        </w:rPr>
        <w:lastRenderedPageBreak/>
        <w:t>¹ “</w:t>
      </w:r>
      <w:proofErr w:type="spellStart"/>
      <w:r w:rsidRPr="00275F4E">
        <w:rPr>
          <w:rFonts w:ascii="Arial" w:eastAsia="Times New Roman" w:hAnsi="Arial" w:cs="Arial"/>
          <w:color w:val="000000"/>
          <w:sz w:val="20"/>
          <w:szCs w:val="20"/>
        </w:rPr>
        <w:t>ICarbonX</w:t>
      </w:r>
      <w:proofErr w:type="spellEnd"/>
      <w:r w:rsidRPr="00275F4E">
        <w:rPr>
          <w:rFonts w:ascii="Arial" w:eastAsia="Times New Roman" w:hAnsi="Arial" w:cs="Arial"/>
          <w:color w:val="000000"/>
          <w:sz w:val="20"/>
          <w:szCs w:val="20"/>
        </w:rPr>
        <w:t xml:space="preserve"> Headquarters by Steven Holl Architects.” Architect Magazine, April 30, 2019. </w:t>
      </w:r>
      <w:hyperlink r:id="rId4" w:history="1">
        <w:r w:rsidRPr="00275F4E">
          <w:rPr>
            <w:rFonts w:ascii="Arial" w:eastAsia="Times New Roman" w:hAnsi="Arial" w:cs="Arial"/>
            <w:color w:val="1155CC"/>
            <w:sz w:val="20"/>
            <w:szCs w:val="20"/>
            <w:u w:val="single"/>
          </w:rPr>
          <w:t>https://www.architectmagazine.com/project-gallery/icarbonx-headquarters_o</w:t>
        </w:r>
      </w:hyperlink>
      <w:r w:rsidRPr="00275F4E">
        <w:rPr>
          <w:rFonts w:ascii="Arial" w:eastAsia="Times New Roman" w:hAnsi="Arial" w:cs="Arial"/>
          <w:color w:val="000000"/>
          <w:sz w:val="20"/>
          <w:szCs w:val="20"/>
        </w:rPr>
        <w:t>.</w:t>
      </w:r>
    </w:p>
    <w:p w14:paraId="3CD45500" w14:textId="77777777" w:rsidR="00275F4E" w:rsidRPr="00275F4E" w:rsidRDefault="00275F4E" w:rsidP="00275F4E">
      <w:pPr>
        <w:spacing w:after="0" w:line="360" w:lineRule="auto"/>
        <w:rPr>
          <w:rFonts w:ascii="Arial" w:eastAsia="Times New Roman" w:hAnsi="Arial" w:cs="Arial"/>
          <w:sz w:val="20"/>
          <w:szCs w:val="20"/>
        </w:rPr>
      </w:pPr>
      <w:r w:rsidRPr="00275F4E">
        <w:rPr>
          <w:rFonts w:ascii="Arial" w:eastAsia="Times New Roman" w:hAnsi="Arial" w:cs="Arial"/>
          <w:color w:val="000000"/>
          <w:sz w:val="20"/>
          <w:szCs w:val="20"/>
        </w:rPr>
        <w:t xml:space="preserve">² Crook, Lizzie. “Steven Holl Architects Reveals Visuals of DNA-Shaped Towers in China.” </w:t>
      </w:r>
      <w:proofErr w:type="spellStart"/>
      <w:r w:rsidRPr="00275F4E">
        <w:rPr>
          <w:rFonts w:ascii="Arial" w:eastAsia="Times New Roman" w:hAnsi="Arial" w:cs="Arial"/>
          <w:color w:val="000000"/>
          <w:sz w:val="20"/>
          <w:szCs w:val="20"/>
        </w:rPr>
        <w:t>Dezeen</w:t>
      </w:r>
      <w:proofErr w:type="spellEnd"/>
      <w:r w:rsidRPr="00275F4E">
        <w:rPr>
          <w:rFonts w:ascii="Arial" w:eastAsia="Times New Roman" w:hAnsi="Arial" w:cs="Arial"/>
          <w:color w:val="000000"/>
          <w:sz w:val="20"/>
          <w:szCs w:val="20"/>
        </w:rPr>
        <w:t xml:space="preserve">, August 2, 2019. </w:t>
      </w:r>
      <w:hyperlink r:id="rId5" w:anchor=":~:text=Steven%20Holl%20Architects%20has%20designed,company%20iCarbonX%20in%20Shenzhen%2C%20China" w:history="1">
        <w:r w:rsidRPr="00275F4E">
          <w:rPr>
            <w:rFonts w:ascii="Arial" w:eastAsia="Times New Roman" w:hAnsi="Arial" w:cs="Arial"/>
            <w:color w:val="1155CC"/>
            <w:sz w:val="20"/>
            <w:szCs w:val="20"/>
            <w:u w:val="single"/>
          </w:rPr>
          <w:t>https://www.dezeen.com/2019/04/30/steven-holl-architects-icarbonx-china-architecture/#:</w:t>
        </w:r>
      </w:hyperlink>
    </w:p>
    <w:p w14:paraId="38CDB25F" w14:textId="77777777" w:rsidR="00275F4E" w:rsidRPr="00275F4E" w:rsidRDefault="00275F4E" w:rsidP="00275F4E">
      <w:pPr>
        <w:spacing w:after="0" w:line="360" w:lineRule="auto"/>
        <w:rPr>
          <w:rFonts w:ascii="Arial" w:eastAsia="Times New Roman" w:hAnsi="Arial" w:cs="Arial"/>
          <w:sz w:val="20"/>
          <w:szCs w:val="20"/>
        </w:rPr>
      </w:pPr>
      <w:hyperlink r:id="rId6" w:anchor=":~:text=Steven%20Holl%20Architects%20has%20designed,company%20iCarbonX%20in%20Shenzhen%2C%20China" w:history="1">
        <w:r w:rsidRPr="00275F4E">
          <w:rPr>
            <w:rFonts w:ascii="Arial" w:eastAsia="Times New Roman" w:hAnsi="Arial" w:cs="Arial"/>
            <w:color w:val="1155CC"/>
            <w:sz w:val="20"/>
            <w:szCs w:val="20"/>
            <w:u w:val="single"/>
          </w:rPr>
          <w:t>~:text=Steven%20Holl%20Architects%20has%20</w:t>
        </w:r>
        <w:proofErr w:type="gramStart"/>
        <w:r w:rsidRPr="00275F4E">
          <w:rPr>
            <w:rFonts w:ascii="Arial" w:eastAsia="Times New Roman" w:hAnsi="Arial" w:cs="Arial"/>
            <w:color w:val="1155CC"/>
            <w:sz w:val="20"/>
            <w:szCs w:val="20"/>
            <w:u w:val="single"/>
          </w:rPr>
          <w:t>designed,company</w:t>
        </w:r>
        <w:proofErr w:type="gramEnd"/>
        <w:r w:rsidRPr="00275F4E">
          <w:rPr>
            <w:rFonts w:ascii="Arial" w:eastAsia="Times New Roman" w:hAnsi="Arial" w:cs="Arial"/>
            <w:color w:val="1155CC"/>
            <w:sz w:val="20"/>
            <w:szCs w:val="20"/>
            <w:u w:val="single"/>
          </w:rPr>
          <w:t>%20iCarbonX%20in%20Shenzhen%2C%20China</w:t>
        </w:r>
      </w:hyperlink>
      <w:r w:rsidRPr="00275F4E">
        <w:rPr>
          <w:rFonts w:ascii="Arial" w:eastAsia="Times New Roman" w:hAnsi="Arial" w:cs="Arial"/>
          <w:color w:val="000000"/>
          <w:sz w:val="20"/>
          <w:szCs w:val="20"/>
        </w:rPr>
        <w:t>.</w:t>
      </w:r>
    </w:p>
    <w:p w14:paraId="4640CA64" w14:textId="77777777" w:rsidR="00275F4E" w:rsidRPr="00275F4E" w:rsidRDefault="00275F4E" w:rsidP="00275F4E">
      <w:pPr>
        <w:spacing w:after="0" w:line="360" w:lineRule="auto"/>
        <w:rPr>
          <w:rFonts w:ascii="Arial" w:eastAsia="Times New Roman" w:hAnsi="Arial" w:cs="Arial"/>
          <w:sz w:val="20"/>
          <w:szCs w:val="20"/>
        </w:rPr>
      </w:pPr>
      <w:r w:rsidRPr="00275F4E">
        <w:rPr>
          <w:rFonts w:ascii="Arial" w:eastAsia="Times New Roman" w:hAnsi="Arial" w:cs="Arial"/>
          <w:color w:val="000000"/>
          <w:sz w:val="20"/>
          <w:szCs w:val="20"/>
        </w:rPr>
        <w:t>³ “</w:t>
      </w:r>
      <w:proofErr w:type="spellStart"/>
      <w:r w:rsidRPr="00275F4E">
        <w:rPr>
          <w:rFonts w:ascii="Arial" w:eastAsia="Times New Roman" w:hAnsi="Arial" w:cs="Arial"/>
          <w:color w:val="000000"/>
          <w:sz w:val="20"/>
          <w:szCs w:val="20"/>
        </w:rPr>
        <w:t>iCarbonX</w:t>
      </w:r>
      <w:proofErr w:type="spellEnd"/>
      <w:r w:rsidRPr="00275F4E">
        <w:rPr>
          <w:rFonts w:ascii="Arial" w:eastAsia="Times New Roman" w:hAnsi="Arial" w:cs="Arial"/>
          <w:color w:val="000000"/>
          <w:sz w:val="20"/>
          <w:szCs w:val="20"/>
        </w:rPr>
        <w:t xml:space="preserve"> Headquarters.” Steven Holl Architects, December 21, 2021. </w:t>
      </w:r>
      <w:hyperlink r:id="rId7" w:history="1">
        <w:r w:rsidRPr="00275F4E">
          <w:rPr>
            <w:rFonts w:ascii="Arial" w:eastAsia="Times New Roman" w:hAnsi="Arial" w:cs="Arial"/>
            <w:color w:val="1155CC"/>
            <w:sz w:val="20"/>
            <w:szCs w:val="20"/>
            <w:u w:val="single"/>
          </w:rPr>
          <w:t>https://www.stevenholl.com/project/icarbonx-headquarters/</w:t>
        </w:r>
      </w:hyperlink>
      <w:r w:rsidRPr="00275F4E">
        <w:rPr>
          <w:rFonts w:ascii="Arial" w:eastAsia="Times New Roman" w:hAnsi="Arial" w:cs="Arial"/>
          <w:color w:val="000000"/>
          <w:sz w:val="20"/>
          <w:szCs w:val="20"/>
        </w:rPr>
        <w:t>.</w:t>
      </w:r>
    </w:p>
    <w:p w14:paraId="3EA13D0A" w14:textId="77777777" w:rsidR="00275F4E" w:rsidRPr="00275F4E" w:rsidRDefault="00275F4E" w:rsidP="00275F4E">
      <w:pPr>
        <w:spacing w:after="0" w:line="360" w:lineRule="auto"/>
        <w:rPr>
          <w:rFonts w:ascii="Arial" w:eastAsia="Times New Roman" w:hAnsi="Arial" w:cs="Arial"/>
          <w:sz w:val="20"/>
          <w:szCs w:val="20"/>
        </w:rPr>
      </w:pPr>
      <w:r w:rsidRPr="00275F4E">
        <w:rPr>
          <w:rFonts w:ascii="Arial" w:eastAsia="Times New Roman" w:hAnsi="Arial" w:cs="Arial"/>
          <w:color w:val="000000"/>
          <w:sz w:val="20"/>
          <w:szCs w:val="20"/>
        </w:rPr>
        <w:t>⁴ Crook, “Steven Holl Architects Reveals Visuals of DNA-Shaped Towers in China”.</w:t>
      </w:r>
    </w:p>
    <w:p w14:paraId="4AAF72E3" w14:textId="77777777" w:rsidR="00275F4E" w:rsidRPr="00275F4E" w:rsidRDefault="00275F4E" w:rsidP="00275F4E">
      <w:pPr>
        <w:spacing w:after="0" w:line="360" w:lineRule="auto"/>
        <w:rPr>
          <w:rFonts w:ascii="Arial" w:eastAsia="Times New Roman" w:hAnsi="Arial" w:cs="Arial"/>
          <w:sz w:val="20"/>
          <w:szCs w:val="20"/>
        </w:rPr>
      </w:pPr>
      <w:r w:rsidRPr="00275F4E">
        <w:rPr>
          <w:rFonts w:ascii="Arial" w:eastAsia="Times New Roman" w:hAnsi="Arial" w:cs="Arial"/>
          <w:color w:val="000000"/>
          <w:sz w:val="20"/>
          <w:szCs w:val="20"/>
        </w:rPr>
        <w:t>⁵ Steven Holl Architects, “</w:t>
      </w:r>
      <w:proofErr w:type="spellStart"/>
      <w:r w:rsidRPr="00275F4E">
        <w:rPr>
          <w:rFonts w:ascii="Arial" w:eastAsia="Times New Roman" w:hAnsi="Arial" w:cs="Arial"/>
          <w:color w:val="000000"/>
          <w:sz w:val="20"/>
          <w:szCs w:val="20"/>
        </w:rPr>
        <w:t>iCarbonX</w:t>
      </w:r>
      <w:proofErr w:type="spellEnd"/>
      <w:r w:rsidRPr="00275F4E">
        <w:rPr>
          <w:rFonts w:ascii="Arial" w:eastAsia="Times New Roman" w:hAnsi="Arial" w:cs="Arial"/>
          <w:color w:val="000000"/>
          <w:sz w:val="20"/>
          <w:szCs w:val="20"/>
        </w:rPr>
        <w:t xml:space="preserve"> Headquarters”.</w:t>
      </w:r>
    </w:p>
    <w:p w14:paraId="47D74887" w14:textId="77777777" w:rsidR="00275F4E" w:rsidRPr="00275F4E" w:rsidRDefault="00275F4E" w:rsidP="00275F4E">
      <w:pPr>
        <w:spacing w:after="0" w:line="360" w:lineRule="auto"/>
        <w:rPr>
          <w:rFonts w:ascii="Arial" w:eastAsia="Times New Roman" w:hAnsi="Arial" w:cs="Arial"/>
          <w:sz w:val="20"/>
          <w:szCs w:val="20"/>
        </w:rPr>
      </w:pPr>
    </w:p>
    <w:p w14:paraId="2906499F" w14:textId="06CC30D5" w:rsidR="00275F4E" w:rsidRPr="00275F4E" w:rsidRDefault="00275F4E" w:rsidP="00275F4E">
      <w:pPr>
        <w:spacing w:after="0" w:line="360" w:lineRule="auto"/>
        <w:jc w:val="center"/>
        <w:rPr>
          <w:rFonts w:ascii="Arial" w:eastAsia="Times New Roman" w:hAnsi="Arial" w:cs="Arial"/>
          <w:sz w:val="20"/>
          <w:szCs w:val="20"/>
        </w:rPr>
      </w:pPr>
      <w:r w:rsidRPr="00275F4E">
        <w:rPr>
          <w:rFonts w:ascii="Arial" w:eastAsia="Times New Roman" w:hAnsi="Arial" w:cs="Arial"/>
          <w:noProof/>
          <w:color w:val="000000"/>
          <w:sz w:val="20"/>
          <w:szCs w:val="20"/>
          <w:bdr w:val="none" w:sz="0" w:space="0" w:color="auto" w:frame="1"/>
        </w:rPr>
        <w:drawing>
          <wp:inline distT="0" distB="0" distL="0" distR="0" wp14:anchorId="1BAC8D07" wp14:editId="21B3B8FB">
            <wp:extent cx="4660900" cy="2622550"/>
            <wp:effectExtent l="0" t="0" r="6350" b="6350"/>
            <wp:docPr id="3" name="Picture 3" descr="A group of tall building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tall buildings&#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60900" cy="2622550"/>
                    </a:xfrm>
                    <a:prstGeom prst="rect">
                      <a:avLst/>
                    </a:prstGeom>
                    <a:noFill/>
                    <a:ln>
                      <a:noFill/>
                    </a:ln>
                  </pic:spPr>
                </pic:pic>
              </a:graphicData>
            </a:graphic>
          </wp:inline>
        </w:drawing>
      </w:r>
    </w:p>
    <w:p w14:paraId="714325C9" w14:textId="77777777" w:rsidR="00275F4E" w:rsidRPr="00275F4E" w:rsidRDefault="00275F4E" w:rsidP="00275F4E">
      <w:pPr>
        <w:spacing w:after="0" w:line="360" w:lineRule="auto"/>
        <w:rPr>
          <w:rFonts w:ascii="Arial" w:eastAsia="Times New Roman" w:hAnsi="Arial" w:cs="Arial"/>
          <w:sz w:val="20"/>
          <w:szCs w:val="20"/>
        </w:rPr>
      </w:pPr>
    </w:p>
    <w:p w14:paraId="380D85BC" w14:textId="49453F4A" w:rsidR="00275F4E" w:rsidRPr="00275F4E" w:rsidRDefault="00275F4E" w:rsidP="00275F4E">
      <w:pPr>
        <w:spacing w:after="0" w:line="360" w:lineRule="auto"/>
        <w:jc w:val="center"/>
        <w:rPr>
          <w:rFonts w:ascii="Arial" w:eastAsia="Times New Roman" w:hAnsi="Arial" w:cs="Arial"/>
          <w:sz w:val="20"/>
          <w:szCs w:val="20"/>
        </w:rPr>
      </w:pPr>
      <w:r w:rsidRPr="00275F4E">
        <w:rPr>
          <w:rFonts w:ascii="Arial" w:eastAsia="Times New Roman" w:hAnsi="Arial" w:cs="Arial"/>
          <w:noProof/>
          <w:color w:val="000000"/>
          <w:sz w:val="20"/>
          <w:szCs w:val="20"/>
          <w:bdr w:val="none" w:sz="0" w:space="0" w:color="auto" w:frame="1"/>
        </w:rPr>
        <w:drawing>
          <wp:inline distT="0" distB="0" distL="0" distR="0" wp14:anchorId="45AB06A8" wp14:editId="157F21ED">
            <wp:extent cx="3911600" cy="2438400"/>
            <wp:effectExtent l="0" t="0" r="0" b="0"/>
            <wp:docPr id="2" name="Picture 2" descr="A picture containing building, outdoor,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building, outdoor, towe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11600" cy="2438400"/>
                    </a:xfrm>
                    <a:prstGeom prst="rect">
                      <a:avLst/>
                    </a:prstGeom>
                    <a:noFill/>
                    <a:ln>
                      <a:noFill/>
                    </a:ln>
                  </pic:spPr>
                </pic:pic>
              </a:graphicData>
            </a:graphic>
          </wp:inline>
        </w:drawing>
      </w:r>
    </w:p>
    <w:p w14:paraId="79F0FA13" w14:textId="76B17DE9" w:rsidR="00275F4E" w:rsidRPr="00275F4E" w:rsidRDefault="00275F4E" w:rsidP="00275F4E">
      <w:pPr>
        <w:spacing w:after="0" w:line="360" w:lineRule="auto"/>
        <w:jc w:val="center"/>
        <w:rPr>
          <w:rFonts w:ascii="Arial" w:eastAsia="Times New Roman" w:hAnsi="Arial" w:cs="Arial"/>
          <w:sz w:val="20"/>
          <w:szCs w:val="20"/>
        </w:rPr>
      </w:pPr>
    </w:p>
    <w:sectPr w:rsidR="00275F4E" w:rsidRPr="00275F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F4E"/>
    <w:rsid w:val="00275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08852"/>
  <w15:chartTrackingRefBased/>
  <w15:docId w15:val="{61B6B68C-1511-437B-8C5D-BDBF3C99C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75F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75F4E"/>
  </w:style>
  <w:style w:type="character" w:styleId="Hyperlink">
    <w:name w:val="Hyperlink"/>
    <w:basedOn w:val="DefaultParagraphFont"/>
    <w:uiPriority w:val="99"/>
    <w:semiHidden/>
    <w:unhideWhenUsed/>
    <w:rsid w:val="00275F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4572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s://www.stevenholl.com/project/icarbonx-headquarter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ezeen.com/2019/04/30/steven-holl-architects-icarbonx-china-architecture/" TargetMode="External"/><Relationship Id="rId11" Type="http://schemas.openxmlformats.org/officeDocument/2006/relationships/theme" Target="theme/theme1.xml"/><Relationship Id="rId5" Type="http://schemas.openxmlformats.org/officeDocument/2006/relationships/hyperlink" Target="https://www.dezeen.com/2019/04/30/steven-holl-architects-icarbonx-china-architecture/" TargetMode="External"/><Relationship Id="rId10" Type="http://schemas.openxmlformats.org/officeDocument/2006/relationships/fontTable" Target="fontTable.xml"/><Relationship Id="rId4" Type="http://schemas.openxmlformats.org/officeDocument/2006/relationships/hyperlink" Target="https://www.architectmagazine.com/project-gallery/icarbonx-headquarters_o" TargetMode="Externa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626</Words>
  <Characters>3569</Characters>
  <Application>Microsoft Office Word</Application>
  <DocSecurity>0</DocSecurity>
  <Lines>29</Lines>
  <Paragraphs>8</Paragraphs>
  <ScaleCrop>false</ScaleCrop>
  <Company/>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Katelyn Dill</dc:creator>
  <cp:keywords/>
  <dc:description/>
  <cp:lastModifiedBy>Katelyn Dill</cp:lastModifiedBy>
  <cp:revision>1</cp:revision>
  <dcterms:created xsi:type="dcterms:W3CDTF">2022-02-08T18:50:00Z</dcterms:created>
  <dcterms:modified xsi:type="dcterms:W3CDTF">2022-02-08T18:51:00Z</dcterms:modified>
</cp:coreProperties>
</file>