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sz w:val="21"/>
          <w:szCs w:val="21"/>
        </w:rPr>
      </w:pPr>
      <w:r w:rsidDel="00000000" w:rsidR="00000000" w:rsidRPr="00000000">
        <w:rPr>
          <w:sz w:val="21"/>
          <w:szCs w:val="21"/>
          <w:rtl w:val="0"/>
        </w:rPr>
        <w:t xml:space="preserve">Powerhouse Telemark - Porsgrunn, Norway</w:t>
      </w:r>
    </w:p>
    <w:p w:rsidR="00000000" w:rsidDel="00000000" w:rsidP="00000000" w:rsidRDefault="00000000" w:rsidRPr="00000000" w14:paraId="00000002">
      <w:pPr>
        <w:spacing w:line="360" w:lineRule="auto"/>
        <w:rPr>
          <w:sz w:val="21"/>
          <w:szCs w:val="21"/>
        </w:rPr>
      </w:pPr>
      <w:r w:rsidDel="00000000" w:rsidR="00000000" w:rsidRPr="00000000">
        <w:rPr>
          <w:sz w:val="21"/>
          <w:szCs w:val="21"/>
          <w:rtl w:val="0"/>
        </w:rPr>
        <w:t xml:space="preserve">Thaliah Cardenas</w:t>
      </w:r>
    </w:p>
    <w:p w:rsidR="00000000" w:rsidDel="00000000" w:rsidP="00000000" w:rsidRDefault="00000000" w:rsidRPr="00000000" w14:paraId="00000003">
      <w:pPr>
        <w:spacing w:line="360" w:lineRule="auto"/>
        <w:rPr>
          <w:sz w:val="21"/>
          <w:szCs w:val="21"/>
        </w:rPr>
      </w:pPr>
      <w:r w:rsidDel="00000000" w:rsidR="00000000" w:rsidRPr="00000000">
        <w:rPr>
          <w:rtl w:val="0"/>
        </w:rPr>
      </w:r>
    </w:p>
    <w:p w:rsidR="00000000" w:rsidDel="00000000" w:rsidP="00000000" w:rsidRDefault="00000000" w:rsidRPr="00000000" w14:paraId="00000004">
      <w:pPr>
        <w:spacing w:line="360" w:lineRule="auto"/>
        <w:rPr>
          <w:sz w:val="21"/>
          <w:szCs w:val="21"/>
        </w:rPr>
      </w:pPr>
      <w:r w:rsidDel="00000000" w:rsidR="00000000" w:rsidRPr="00000000">
        <w:rPr>
          <w:sz w:val="21"/>
          <w:szCs w:val="21"/>
          <w:rtl w:val="0"/>
        </w:rPr>
        <w:tab/>
        <w:t xml:space="preserve">The Powerhouse Telemark is a new office building completed in 2020 designed by Snøhetta Architects. Located two hours from Olso in the small town of Porsgrunn, Norway, the building is making headlines all around the world with its impressive commitment to sustainability. The Powerhouse Telemark is one of many other buildings by the architecture firm such as Powerhouse Kjørbo, Powerhouse Montessori and Powerhouse Brattørkaia which are working towards a sustainable future in architecture. </w:t>
      </w:r>
    </w:p>
    <w:p w:rsidR="00000000" w:rsidDel="00000000" w:rsidP="00000000" w:rsidRDefault="00000000" w:rsidRPr="00000000" w14:paraId="00000005">
      <w:pPr>
        <w:spacing w:line="360" w:lineRule="auto"/>
        <w:rPr>
          <w:sz w:val="21"/>
          <w:szCs w:val="21"/>
        </w:rPr>
      </w:pPr>
      <w:r w:rsidDel="00000000" w:rsidR="00000000" w:rsidRPr="00000000">
        <w:rPr>
          <w:sz w:val="21"/>
          <w:szCs w:val="21"/>
          <w:rtl w:val="0"/>
        </w:rPr>
        <w:tab/>
        <w:t xml:space="preserve">The Powerhouse Telemark is 8,313 square meters large containing 11 floors vertically. The office space makes remarkable strides towards creating the sustainable building of the future and is the first building in Norway to be BREAM certified excellent - which is the second best level a building can receive. The Telemark earns this rating by implementing features such as using eletrochromatic glass that darkens and clears in response to sunlight to conserve heating and cooling energy during use. Additionally, the building features a 24 degree tilted roof which is not only architecturally beautiful, but also has practical use as well. The tilt has been calculated to capture sunlight though the solar panels on the roof and to allow the maximum amount of daylight in the building to reduce lighting energy and costs. The Powerhouse contains a ventilated double skin facade, triple insulated windows, wooden cladding as solar shading, and the carpet tiles in the building are made of 70% recycled fishnet. </w:t>
      </w:r>
    </w:p>
    <w:p w:rsidR="00000000" w:rsidDel="00000000" w:rsidP="00000000" w:rsidRDefault="00000000" w:rsidRPr="00000000" w14:paraId="00000006">
      <w:pPr>
        <w:spacing w:line="360" w:lineRule="auto"/>
        <w:rPr>
          <w:sz w:val="21"/>
          <w:szCs w:val="21"/>
        </w:rPr>
      </w:pPr>
      <w:r w:rsidDel="00000000" w:rsidR="00000000" w:rsidRPr="00000000">
        <w:rPr>
          <w:sz w:val="21"/>
          <w:szCs w:val="21"/>
          <w:rtl w:val="0"/>
        </w:rPr>
        <w:tab/>
        <w:t xml:space="preserve">Among the sustainable features inlemented throught the building, the Power house telemark is named for its energy producing services. The Snohetta Architects and their collaborators have committed to making their buildings carbon neutral and this building takes that concept further by this making the Powerhouse Telemark net negative inthe fact that the it produces more energy in a year than it consumes. The building will produce 239000kWh annually from its own solar cell plant, yet uses 240000 kwh annually. With this Snohetta Architects have reduced energy consumption by 66% in its 60 year lifespan.</w:t>
      </w:r>
    </w:p>
    <w:p w:rsidR="00000000" w:rsidDel="00000000" w:rsidP="00000000" w:rsidRDefault="00000000" w:rsidRPr="00000000" w14:paraId="00000007">
      <w:pPr>
        <w:spacing w:line="360" w:lineRule="auto"/>
        <w:rPr>
          <w:sz w:val="21"/>
          <w:szCs w:val="21"/>
        </w:rPr>
      </w:pPr>
      <w:r w:rsidDel="00000000" w:rsidR="00000000" w:rsidRPr="00000000">
        <w:rPr>
          <w:sz w:val="21"/>
          <w:szCs w:val="21"/>
          <w:rtl w:val="0"/>
        </w:rPr>
        <w:tab/>
        <w:t xml:space="preserve">Snohetta Architects have worked in collaboration with the owner R8, construction company Skanska norge, executive architect asplan viak and various manufacturers for the products used. </w:t>
      </w:r>
    </w:p>
    <w:p w:rsidR="00000000" w:rsidDel="00000000" w:rsidP="00000000" w:rsidRDefault="00000000" w:rsidRPr="00000000" w14:paraId="00000008">
      <w:pPr>
        <w:spacing w:line="360" w:lineRule="auto"/>
        <w:rPr>
          <w:sz w:val="21"/>
          <w:szCs w:val="21"/>
        </w:rPr>
      </w:pPr>
      <w:r w:rsidDel="00000000" w:rsidR="00000000" w:rsidRPr="00000000">
        <w:rPr>
          <w:rtl w:val="0"/>
        </w:rPr>
      </w:r>
    </w:p>
    <w:p w:rsidR="00000000" w:rsidDel="00000000" w:rsidP="00000000" w:rsidRDefault="00000000" w:rsidRPr="00000000" w14:paraId="00000009">
      <w:pPr>
        <w:spacing w:line="360" w:lineRule="auto"/>
        <w:rPr>
          <w:sz w:val="21"/>
          <w:szCs w:val="21"/>
        </w:rPr>
      </w:pPr>
      <w:r w:rsidDel="00000000" w:rsidR="00000000" w:rsidRPr="00000000">
        <w:rPr>
          <w:rtl w:val="0"/>
        </w:rPr>
      </w:r>
    </w:p>
    <w:p w:rsidR="00000000" w:rsidDel="00000000" w:rsidP="00000000" w:rsidRDefault="00000000" w:rsidRPr="00000000" w14:paraId="0000000A">
      <w:pPr>
        <w:spacing w:line="360" w:lineRule="auto"/>
        <w:rPr>
          <w:sz w:val="21"/>
          <w:szCs w:val="21"/>
        </w:rPr>
      </w:pPr>
      <w:r w:rsidDel="00000000" w:rsidR="00000000" w:rsidRPr="00000000">
        <w:rPr>
          <w:rtl w:val="0"/>
        </w:rPr>
      </w:r>
    </w:p>
    <w:p w:rsidR="00000000" w:rsidDel="00000000" w:rsidP="00000000" w:rsidRDefault="00000000" w:rsidRPr="00000000" w14:paraId="0000000B">
      <w:pPr>
        <w:spacing w:line="360" w:lineRule="auto"/>
        <w:rPr>
          <w:sz w:val="21"/>
          <w:szCs w:val="21"/>
        </w:rPr>
      </w:pPr>
      <w:r w:rsidDel="00000000" w:rsidR="00000000" w:rsidRPr="00000000">
        <w:rPr>
          <w:rtl w:val="0"/>
        </w:rPr>
      </w:r>
    </w:p>
    <w:p w:rsidR="00000000" w:rsidDel="00000000" w:rsidP="00000000" w:rsidRDefault="00000000" w:rsidRPr="00000000" w14:paraId="0000000C">
      <w:pPr>
        <w:spacing w:line="360" w:lineRule="auto"/>
        <w:rPr>
          <w:sz w:val="21"/>
          <w:szCs w:val="21"/>
        </w:rPr>
      </w:pPr>
      <w:r w:rsidDel="00000000" w:rsidR="00000000" w:rsidRPr="00000000">
        <w:rPr>
          <w:rtl w:val="0"/>
        </w:rPr>
      </w:r>
    </w:p>
    <w:p w:rsidR="00000000" w:rsidDel="00000000" w:rsidP="00000000" w:rsidRDefault="00000000" w:rsidRPr="00000000" w14:paraId="0000000D">
      <w:pPr>
        <w:spacing w:line="360" w:lineRule="auto"/>
        <w:rPr>
          <w:sz w:val="21"/>
          <w:szCs w:val="21"/>
        </w:rPr>
      </w:pPr>
      <w:r w:rsidDel="00000000" w:rsidR="00000000" w:rsidRPr="00000000">
        <w:rPr>
          <w:rtl w:val="0"/>
        </w:rPr>
      </w:r>
    </w:p>
    <w:p w:rsidR="00000000" w:rsidDel="00000000" w:rsidP="00000000" w:rsidRDefault="00000000" w:rsidRPr="00000000" w14:paraId="0000000E">
      <w:pPr>
        <w:spacing w:line="360" w:lineRule="auto"/>
        <w:rPr>
          <w:sz w:val="21"/>
          <w:szCs w:val="21"/>
        </w:rPr>
      </w:pPr>
      <w:r w:rsidDel="00000000" w:rsidR="00000000" w:rsidRPr="00000000">
        <w:rPr>
          <w:rtl w:val="0"/>
        </w:rPr>
      </w:r>
    </w:p>
    <w:p w:rsidR="00000000" w:rsidDel="00000000" w:rsidP="00000000" w:rsidRDefault="00000000" w:rsidRPr="00000000" w14:paraId="0000000F">
      <w:pPr>
        <w:spacing w:line="360" w:lineRule="auto"/>
        <w:rPr>
          <w:sz w:val="21"/>
          <w:szCs w:val="21"/>
        </w:rPr>
      </w:pPr>
      <w:r w:rsidDel="00000000" w:rsidR="00000000" w:rsidRPr="00000000">
        <w:rPr>
          <w:sz w:val="21"/>
          <w:szCs w:val="21"/>
          <w:rtl w:val="0"/>
        </w:rPr>
        <w:t xml:space="preserve">Sources:</w:t>
      </w:r>
    </w:p>
    <w:p w:rsidR="00000000" w:rsidDel="00000000" w:rsidP="00000000" w:rsidRDefault="00000000" w:rsidRPr="00000000" w14:paraId="00000010">
      <w:pPr>
        <w:numPr>
          <w:ilvl w:val="0"/>
          <w:numId w:val="1"/>
        </w:numPr>
        <w:spacing w:line="240" w:lineRule="auto"/>
        <w:ind w:left="720" w:hanging="360"/>
        <w:rPr>
          <w:sz w:val="21"/>
          <w:szCs w:val="21"/>
        </w:rPr>
      </w:pPr>
      <w:hyperlink r:id="rId6">
        <w:r w:rsidDel="00000000" w:rsidR="00000000" w:rsidRPr="00000000">
          <w:rPr>
            <w:color w:val="1155cc"/>
            <w:u w:val="single"/>
            <w:rtl w:val="0"/>
          </w:rPr>
          <w:t xml:space="preserve">https://www.powerhouse.no/en/prosjekter/powerhouse-telemark-2/</w:t>
        </w:r>
      </w:hyperlink>
      <w:r w:rsidDel="00000000" w:rsidR="00000000" w:rsidRPr="00000000">
        <w:rPr>
          <w:rtl w:val="0"/>
        </w:rPr>
      </w:r>
    </w:p>
    <w:p w:rsidR="00000000" w:rsidDel="00000000" w:rsidP="00000000" w:rsidRDefault="00000000" w:rsidRPr="00000000" w14:paraId="00000011">
      <w:pPr>
        <w:numPr>
          <w:ilvl w:val="0"/>
          <w:numId w:val="1"/>
        </w:numPr>
        <w:spacing w:line="240" w:lineRule="auto"/>
        <w:ind w:left="720" w:hanging="360"/>
      </w:pPr>
      <w:hyperlink r:id="rId7">
        <w:r w:rsidDel="00000000" w:rsidR="00000000" w:rsidRPr="00000000">
          <w:rPr>
            <w:color w:val="1155cc"/>
            <w:u w:val="single"/>
            <w:rtl w:val="0"/>
          </w:rPr>
          <w:t xml:space="preserve">https://www.archdaily.com/950507/powerhouse-telemark-snohetta</w:t>
        </w:r>
      </w:hyperlink>
      <w:r w:rsidDel="00000000" w:rsidR="00000000" w:rsidRPr="00000000">
        <w:rPr>
          <w:rtl w:val="0"/>
        </w:rPr>
      </w:r>
    </w:p>
    <w:p w:rsidR="00000000" w:rsidDel="00000000" w:rsidP="00000000" w:rsidRDefault="00000000" w:rsidRPr="00000000" w14:paraId="00000012">
      <w:pPr>
        <w:numPr>
          <w:ilvl w:val="0"/>
          <w:numId w:val="1"/>
        </w:numPr>
        <w:spacing w:line="240" w:lineRule="auto"/>
        <w:ind w:left="720" w:hanging="360"/>
      </w:pPr>
      <w:hyperlink r:id="rId8">
        <w:r w:rsidDel="00000000" w:rsidR="00000000" w:rsidRPr="00000000">
          <w:rPr>
            <w:color w:val="1155cc"/>
            <w:u w:val="single"/>
            <w:rtl w:val="0"/>
          </w:rPr>
          <w:t xml:space="preserve">https://www.sageglass.com/en/case-studies/powerhouse-telemark</w:t>
        </w:r>
      </w:hyperlink>
      <w:r w:rsidDel="00000000" w:rsidR="00000000" w:rsidRPr="00000000">
        <w:rPr>
          <w:rtl w:val="0"/>
        </w:rPr>
      </w:r>
    </w:p>
    <w:p w:rsidR="00000000" w:rsidDel="00000000" w:rsidP="00000000" w:rsidRDefault="00000000" w:rsidRPr="00000000" w14:paraId="00000013">
      <w:pPr>
        <w:numPr>
          <w:ilvl w:val="0"/>
          <w:numId w:val="1"/>
        </w:numPr>
        <w:spacing w:line="240" w:lineRule="auto"/>
        <w:ind w:left="720" w:hanging="360"/>
      </w:pPr>
      <w:hyperlink r:id="rId9">
        <w:r w:rsidDel="00000000" w:rsidR="00000000" w:rsidRPr="00000000">
          <w:rPr>
            <w:color w:val="1155cc"/>
            <w:u w:val="single"/>
            <w:rtl w:val="0"/>
          </w:rPr>
          <w:t xml:space="preserve">https://archello.com/project/powerhouse-telemark#:~:text=A%20powerhouse%20of%20a%20building&amp;text=%E2%80%9CPowerhouse%E2%80%9D%20is%20a%20Norwegian%20climate,and%20consulting%20firm%20Asplan%20Viak</w:t>
        </w:r>
      </w:hyperlink>
      <w:r w:rsidDel="00000000" w:rsidR="00000000" w:rsidRPr="00000000">
        <w:rPr>
          <w:rtl w:val="0"/>
        </w:rPr>
        <w:t xml:space="preserve">.</w:t>
      </w:r>
    </w:p>
    <w:p w:rsidR="00000000" w:rsidDel="00000000" w:rsidP="00000000" w:rsidRDefault="00000000" w:rsidRPr="00000000" w14:paraId="00000014">
      <w:pPr>
        <w:spacing w:line="240" w:lineRule="auto"/>
        <w:rPr/>
      </w:pPr>
      <w:r w:rsidDel="00000000" w:rsidR="00000000" w:rsidRPr="00000000">
        <w:rPr>
          <w:rtl w:val="0"/>
        </w:rPr>
      </w:r>
    </w:p>
    <w:p w:rsidR="00000000" w:rsidDel="00000000" w:rsidP="00000000" w:rsidRDefault="00000000" w:rsidRPr="00000000" w14:paraId="00000015">
      <w:pPr>
        <w:spacing w:line="240" w:lineRule="auto"/>
        <w:rPr/>
      </w:pPr>
      <w:r w:rsidDel="00000000" w:rsidR="00000000" w:rsidRPr="00000000">
        <w:rPr/>
        <w:drawing>
          <wp:inline distB="114300" distT="114300" distL="114300" distR="114300">
            <wp:extent cx="4157133" cy="2338388"/>
            <wp:effectExtent b="0" l="0" r="0" t="0"/>
            <wp:docPr id="3"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4157133" cy="2338388"/>
                    </a:xfrm>
                    <a:prstGeom prst="rect"/>
                    <a:ln/>
                  </pic:spPr>
                </pic:pic>
              </a:graphicData>
            </a:graphic>
          </wp:inline>
        </w:drawing>
      </w:r>
      <w:r w:rsidDel="00000000" w:rsidR="00000000" w:rsidRPr="00000000">
        <w:rPr/>
        <w:drawing>
          <wp:inline distB="114300" distT="114300" distL="114300" distR="114300">
            <wp:extent cx="2619375" cy="1743075"/>
            <wp:effectExtent b="0" l="0" r="0" t="0"/>
            <wp:docPr id="1" name="image1.jpg"/>
            <a:graphic>
              <a:graphicData uri="http://schemas.openxmlformats.org/drawingml/2006/picture">
                <pic:pic>
                  <pic:nvPicPr>
                    <pic:cNvPr id="0" name="image1.jpg"/>
                    <pic:cNvPicPr preferRelativeResize="0"/>
                  </pic:nvPicPr>
                  <pic:blipFill>
                    <a:blip r:embed="rId11"/>
                    <a:srcRect b="0" l="0" r="0" t="0"/>
                    <a:stretch>
                      <a:fillRect/>
                    </a:stretch>
                  </pic:blipFill>
                  <pic:spPr>
                    <a:xfrm>
                      <a:off x="0" y="0"/>
                      <a:ext cx="2619375" cy="1743075"/>
                    </a:xfrm>
                    <a:prstGeom prst="rect"/>
                    <a:ln/>
                  </pic:spPr>
                </pic:pic>
              </a:graphicData>
            </a:graphic>
          </wp:inline>
        </w:drawing>
      </w:r>
      <w:r w:rsidDel="00000000" w:rsidR="00000000" w:rsidRPr="00000000">
        <w:rPr/>
        <w:drawing>
          <wp:inline distB="114300" distT="114300" distL="114300" distR="114300">
            <wp:extent cx="2190750" cy="2095500"/>
            <wp:effectExtent b="0" l="0" r="0" t="0"/>
            <wp:docPr id="2"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2190750" cy="20955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jpg"/><Relationship Id="rId10" Type="http://schemas.openxmlformats.org/officeDocument/2006/relationships/image" Target="media/image3.jpg"/><Relationship Id="rId12" Type="http://schemas.openxmlformats.org/officeDocument/2006/relationships/image" Target="media/image2.jpg"/><Relationship Id="rId9" Type="http://schemas.openxmlformats.org/officeDocument/2006/relationships/hyperlink" Target="https://archello.com/project/powerhouse-telemark#:~:text=A%20powerhouse%20of%20a%20building&amp;text=%E2%80%9CPowerhouse%E2%80%9D%20is%20a%20Norwegian%20climate,and%20consulting%20firm%20Asplan%20Viak" TargetMode="External"/><Relationship Id="rId5" Type="http://schemas.openxmlformats.org/officeDocument/2006/relationships/styles" Target="styles.xml"/><Relationship Id="rId6" Type="http://schemas.openxmlformats.org/officeDocument/2006/relationships/hyperlink" Target="https://www.powerhouse.no/en/prosjekter/powerhouse-telemark-2/" TargetMode="External"/><Relationship Id="rId7" Type="http://schemas.openxmlformats.org/officeDocument/2006/relationships/hyperlink" Target="https://www.archdaily.com/950507/powerhouse-telemark-snohetta" TargetMode="External"/><Relationship Id="rId8" Type="http://schemas.openxmlformats.org/officeDocument/2006/relationships/hyperlink" Target="https://www.sageglass.com/en/case-studies/powerhouse-telem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